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57BE6" w:rsidTr="00C57BE6">
        <w:trPr>
          <w:jc w:val="center"/>
        </w:trPr>
        <w:tc>
          <w:tcPr>
            <w:tcW w:w="743" w:type="dxa"/>
            <w:hideMark/>
          </w:tcPr>
          <w:p w:rsidR="00C57BE6" w:rsidRDefault="00C57BE6" w:rsidP="00C57BE6">
            <w:pPr>
              <w:suppressLineNumbers/>
              <w:jc w:val="both"/>
              <w:rPr>
                <w:rFonts w:ascii="Arial" w:hAnsi="Arial"/>
                <w:b/>
                <w:bCs/>
                <w:sz w:val="26"/>
                <w:szCs w:val="26"/>
              </w:rPr>
            </w:pPr>
            <w:r>
              <w:rPr>
                <w:rFonts w:ascii="Arial" w:hAnsi="Arial"/>
                <w:b/>
                <w:bCs/>
                <w:sz w:val="26"/>
                <w:szCs w:val="26"/>
                <w:rtl/>
              </w:rPr>
              <w:t xml:space="preserve">בפני </w:t>
            </w:r>
          </w:p>
        </w:tc>
        <w:tc>
          <w:tcPr>
            <w:tcW w:w="8077" w:type="dxa"/>
            <w:gridSpan w:val="2"/>
          </w:tcPr>
          <w:p w:rsidR="00C57BE6" w:rsidRDefault="00C57BE6" w:rsidP="00C57BE6">
            <w:pPr>
              <w:suppressLineNumbers/>
              <w:jc w:val="both"/>
              <w:rPr>
                <w:rFonts w:ascii="Arial" w:hAnsi="Arial"/>
                <w:b/>
                <w:bCs/>
                <w:sz w:val="26"/>
                <w:szCs w:val="26"/>
                <w:rtl/>
              </w:rPr>
            </w:pPr>
            <w:r>
              <w:rPr>
                <w:rFonts w:ascii="Arial" w:hAnsi="Arial"/>
                <w:b/>
                <w:bCs/>
                <w:sz w:val="26"/>
                <w:szCs w:val="26"/>
                <w:rtl/>
              </w:rPr>
              <w:t>כבוד ה</w:t>
            </w:r>
            <w:sdt>
              <w:sdtPr>
                <w:rPr>
                  <w:rFonts w:ascii="Arial" w:hAnsi="Arial"/>
                  <w:b/>
                  <w:bCs/>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rFonts w:ascii="Arial" w:hAnsi="Arial"/>
                  <w:b/>
                  <w:bCs/>
                  <w:sz w:val="26"/>
                  <w:szCs w:val="26"/>
                  <w:rtl/>
                </w:rPr>
                <w:alias w:val="1573"/>
                <w:tag w:val="1573"/>
                <w:id w:val="-1751030614"/>
                <w:text w:multiLine="1"/>
              </w:sdtPr>
              <w:sdtEndPr/>
              <w:sdtContent>
                <w:r>
                  <w:rPr>
                    <w:rFonts w:ascii="Arial" w:hAnsi="Arial"/>
                    <w:b/>
                    <w:bCs/>
                    <w:sz w:val="26"/>
                    <w:szCs w:val="26"/>
                    <w:rtl/>
                  </w:rPr>
                  <w:t>צ.  ויצמן, אב"ד</w:t>
                </w:r>
              </w:sdtContent>
            </w:sdt>
          </w:p>
          <w:p w:rsidR="00C57BE6" w:rsidRDefault="00C57BE6" w:rsidP="00C57BE6">
            <w:pPr>
              <w:suppressLineNumbers/>
              <w:jc w:val="both"/>
              <w:rPr>
                <w:rFonts w:ascii="Arial" w:hAnsi="Arial"/>
                <w:b/>
                <w:bCs/>
                <w:sz w:val="26"/>
                <w:szCs w:val="26"/>
                <w:rtl/>
              </w:rPr>
            </w:pPr>
            <w:r>
              <w:rPr>
                <w:rFonts w:ascii="Arial" w:hAnsi="Arial"/>
                <w:b/>
                <w:bCs/>
                <w:sz w:val="26"/>
                <w:szCs w:val="26"/>
                <w:rtl/>
              </w:rPr>
              <w:t>כבוד ה</w:t>
            </w:r>
            <w:sdt>
              <w:sdtPr>
                <w:rPr>
                  <w:rFonts w:ascii="Arial" w:hAnsi="Arial"/>
                  <w:b/>
                  <w:bCs/>
                  <w:sz w:val="26"/>
                  <w:szCs w:val="26"/>
                  <w:rtl/>
                </w:rPr>
                <w:alias w:val="1574"/>
                <w:tag w:val="1574"/>
                <w:id w:val="8028887"/>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rFonts w:ascii="Arial" w:hAnsi="Arial"/>
                  <w:b/>
                  <w:bCs/>
                  <w:sz w:val="26"/>
                  <w:szCs w:val="26"/>
                  <w:rtl/>
                </w:rPr>
                <w:alias w:val="1573"/>
                <w:tag w:val="1573"/>
                <w:id w:val="-953712905"/>
                <w:text w:multiLine="1"/>
              </w:sdtPr>
              <w:sdtEndPr/>
              <w:sdtContent>
                <w:r>
                  <w:rPr>
                    <w:rFonts w:ascii="Arial" w:hAnsi="Arial"/>
                    <w:b/>
                    <w:bCs/>
                    <w:sz w:val="26"/>
                    <w:szCs w:val="26"/>
                    <w:rtl/>
                  </w:rPr>
                  <w:t>י. מושקוביץ</w:t>
                </w:r>
              </w:sdtContent>
            </w:sdt>
          </w:p>
          <w:p w:rsidR="00C57BE6" w:rsidRDefault="00C57BE6" w:rsidP="00C57BE6">
            <w:pPr>
              <w:suppressLineNumbers/>
              <w:jc w:val="both"/>
              <w:rPr>
                <w:rFonts w:ascii="Arial" w:hAnsi="Arial"/>
                <w:b/>
                <w:bCs/>
                <w:sz w:val="26"/>
                <w:szCs w:val="26"/>
                <w:rtl/>
              </w:rPr>
            </w:pPr>
            <w:r>
              <w:rPr>
                <w:rFonts w:ascii="Arial" w:hAnsi="Arial"/>
                <w:b/>
                <w:bCs/>
                <w:sz w:val="26"/>
                <w:szCs w:val="26"/>
                <w:rtl/>
              </w:rPr>
              <w:t>כבוד ה</w:t>
            </w:r>
            <w:sdt>
              <w:sdtPr>
                <w:rPr>
                  <w:sz w:val="26"/>
                  <w:szCs w:val="26"/>
                  <w:rtl/>
                </w:rPr>
                <w:alias w:val="1574"/>
                <w:tag w:val="1574"/>
                <w:id w:val="-1975061656"/>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127583050"/>
                <w:text w:multiLine="1"/>
              </w:sdtPr>
              <w:sdtEndPr/>
              <w:sdtContent>
                <w:r>
                  <w:rPr>
                    <w:rFonts w:ascii="Arial" w:hAnsi="Arial"/>
                    <w:b/>
                    <w:bCs/>
                    <w:sz w:val="26"/>
                    <w:szCs w:val="26"/>
                    <w:rtl/>
                  </w:rPr>
                  <w:t>צ. גרדשטיין פפקין</w:t>
                </w:r>
              </w:sdtContent>
            </w:sdt>
          </w:p>
          <w:p w:rsidR="00C57BE6" w:rsidRDefault="00C57BE6" w:rsidP="00C57BE6">
            <w:pPr>
              <w:suppressLineNumbers/>
              <w:jc w:val="both"/>
              <w:rPr>
                <w:rFonts w:ascii="Arial" w:hAnsi="Arial" w:cs="FrankRuehl"/>
                <w:sz w:val="26"/>
                <w:szCs w:val="26"/>
                <w:highlight w:val="yellow"/>
                <w:rtl/>
              </w:rPr>
            </w:pPr>
          </w:p>
        </w:tc>
      </w:tr>
      <w:tr w:rsidR="00C57BE6" w:rsidTr="00C57BE6">
        <w:trPr>
          <w:jc w:val="center"/>
        </w:trPr>
        <w:tc>
          <w:tcPr>
            <w:tcW w:w="3249" w:type="dxa"/>
            <w:gridSpan w:val="2"/>
          </w:tcPr>
          <w:p w:rsidR="00C57BE6" w:rsidRDefault="00C57BE6" w:rsidP="00C57BE6">
            <w:pPr>
              <w:suppressLineNumbers/>
              <w:jc w:val="both"/>
              <w:rPr>
                <w:rFonts w:ascii="Arial" w:hAnsi="Arial"/>
                <w:b/>
                <w:bCs/>
                <w:noProof w:val="0"/>
                <w:sz w:val="26"/>
                <w:szCs w:val="26"/>
              </w:rPr>
            </w:pPr>
          </w:p>
          <w:sdt>
            <w:sdtPr>
              <w:rPr>
                <w:rtl/>
              </w:rPr>
              <w:alias w:val="1180"/>
              <w:tag w:val="1180"/>
              <w:id w:val="637458750"/>
              <w:text w:multiLine="1"/>
            </w:sdtPr>
            <w:sdtEndPr/>
            <w:sdtContent>
              <w:p w:rsidR="00C57BE6" w:rsidRDefault="00C57BE6" w:rsidP="00C57BE6">
                <w:pPr>
                  <w:suppressLineNumbers/>
                  <w:jc w:val="both"/>
                  <w:rPr>
                    <w:rFonts w:ascii="Arial" w:hAnsi="Arial"/>
                    <w:b/>
                    <w:bCs/>
                    <w:noProof w:val="0"/>
                    <w:sz w:val="26"/>
                    <w:szCs w:val="26"/>
                  </w:rPr>
                </w:pPr>
                <w:r>
                  <w:rPr>
                    <w:rFonts w:ascii="Arial" w:hAnsi="Arial"/>
                    <w:b/>
                    <w:bCs/>
                    <w:noProof w:val="0"/>
                    <w:sz w:val="26"/>
                    <w:szCs w:val="26"/>
                    <w:rtl/>
                  </w:rPr>
                  <w:t>מערער</w:t>
                </w:r>
              </w:p>
            </w:sdtContent>
          </w:sdt>
        </w:tc>
        <w:tc>
          <w:tcPr>
            <w:tcW w:w="5571" w:type="dxa"/>
          </w:tcPr>
          <w:p w:rsidR="00C57BE6" w:rsidRDefault="00C57BE6" w:rsidP="00C57BE6">
            <w:pPr>
              <w:suppressLineNumbers/>
              <w:jc w:val="both"/>
              <w:rPr>
                <w:rFonts w:ascii="Arial" w:hAnsi="Arial"/>
                <w:b/>
                <w:bCs/>
                <w:noProof w:val="0"/>
                <w:sz w:val="26"/>
                <w:szCs w:val="26"/>
                <w:rtl/>
              </w:rPr>
            </w:pPr>
          </w:p>
          <w:p w:rsidR="00C57BE6" w:rsidRDefault="00C57BE6" w:rsidP="00C57BE6">
            <w:pPr>
              <w:suppressLineNumbers/>
              <w:jc w:val="both"/>
              <w:rPr>
                <w:b/>
                <w:bCs/>
                <w:noProof w:val="0"/>
                <w:sz w:val="26"/>
                <w:szCs w:val="26"/>
                <w:rtl/>
              </w:rPr>
            </w:pPr>
            <w:r>
              <w:rPr>
                <w:rFonts w:ascii="Arial" w:hAnsi="Arial"/>
                <w:b/>
                <w:bCs/>
                <w:noProof w:val="0"/>
                <w:sz w:val="26"/>
                <w:szCs w:val="26"/>
                <w:rtl/>
              </w:rPr>
              <w:t xml:space="preserve"> </w:t>
            </w:r>
            <w:sdt>
              <w:sdtPr>
                <w:rPr>
                  <w:rFonts w:ascii="Arial" w:hAnsi="Arial"/>
                  <w:b/>
                  <w:bCs/>
                  <w:noProof w:val="0"/>
                  <w:sz w:val="26"/>
                  <w:szCs w:val="26"/>
                  <w:rtl/>
                </w:rPr>
                <w:alias w:val="3151"/>
                <w:tag w:val="3151"/>
                <w:id w:val="1398553265"/>
                <w:placeholder>
                  <w:docPart w:val="5FA77F3C5E6D4D378138542277E28321"/>
                </w:placeholder>
                <w:text w:multiLine="1"/>
              </w:sdtPr>
              <w:sdtEndPr/>
              <w:sdtContent>
                <w:r>
                  <w:rPr>
                    <w:rFonts w:ascii="Arial" w:hAnsi="Arial"/>
                    <w:b/>
                    <w:bCs/>
                    <w:noProof w:val="0"/>
                    <w:sz w:val="26"/>
                    <w:szCs w:val="26"/>
                    <w:rtl/>
                  </w:rPr>
                  <w:t>י.  ט.</w:t>
                </w:r>
              </w:sdtContent>
            </w:sdt>
            <w:r>
              <w:rPr>
                <w:rtl/>
              </w:rPr>
              <w:t xml:space="preserve"> </w:t>
            </w:r>
          </w:p>
        </w:tc>
      </w:tr>
      <w:tr w:rsidR="00C57BE6" w:rsidTr="00C57BE6">
        <w:trPr>
          <w:jc w:val="center"/>
        </w:trPr>
        <w:tc>
          <w:tcPr>
            <w:tcW w:w="8820" w:type="dxa"/>
            <w:gridSpan w:val="3"/>
          </w:tcPr>
          <w:p w:rsidR="00C57BE6" w:rsidRDefault="00C57BE6" w:rsidP="00C57BE6">
            <w:pPr>
              <w:suppressLineNumbers/>
              <w:jc w:val="both"/>
              <w:rPr>
                <w:rFonts w:ascii="Arial" w:hAnsi="Arial"/>
                <w:b/>
                <w:bCs/>
                <w:noProof w:val="0"/>
                <w:sz w:val="26"/>
                <w:szCs w:val="26"/>
              </w:rPr>
            </w:pPr>
          </w:p>
          <w:p w:rsidR="00C57BE6" w:rsidRDefault="00C57BE6" w:rsidP="00C57BE6">
            <w:pPr>
              <w:suppressLineNumbers/>
              <w:jc w:val="both"/>
              <w:rPr>
                <w:rFonts w:ascii="Arial" w:hAnsi="Arial"/>
                <w:b/>
                <w:bCs/>
                <w:noProof w:val="0"/>
                <w:sz w:val="26"/>
                <w:szCs w:val="26"/>
                <w:rtl/>
              </w:rPr>
            </w:pPr>
            <w:r>
              <w:rPr>
                <w:rFonts w:ascii="Arial" w:hAnsi="Arial" w:hint="cs"/>
                <w:b/>
                <w:bCs/>
                <w:noProof w:val="0"/>
                <w:sz w:val="26"/>
                <w:szCs w:val="26"/>
                <w:rtl/>
              </w:rPr>
              <w:t xml:space="preserve">                                                           </w:t>
            </w:r>
            <w:r>
              <w:rPr>
                <w:rFonts w:ascii="Arial" w:hAnsi="Arial"/>
                <w:b/>
                <w:bCs/>
                <w:noProof w:val="0"/>
                <w:sz w:val="26"/>
                <w:szCs w:val="26"/>
                <w:rtl/>
              </w:rPr>
              <w:t>נגד</w:t>
            </w:r>
          </w:p>
          <w:p w:rsidR="00C57BE6" w:rsidRDefault="00C57BE6" w:rsidP="00C57BE6">
            <w:pPr>
              <w:suppressLineNumbers/>
              <w:jc w:val="both"/>
              <w:rPr>
                <w:rFonts w:ascii="Arial" w:hAnsi="Arial"/>
                <w:b/>
                <w:bCs/>
                <w:noProof w:val="0"/>
                <w:sz w:val="26"/>
                <w:szCs w:val="26"/>
                <w:rtl/>
              </w:rPr>
            </w:pPr>
          </w:p>
        </w:tc>
      </w:tr>
      <w:tr w:rsidR="00C57BE6" w:rsidTr="00C57BE6">
        <w:trPr>
          <w:jc w:val="center"/>
        </w:trPr>
        <w:tc>
          <w:tcPr>
            <w:tcW w:w="3249" w:type="dxa"/>
            <w:gridSpan w:val="2"/>
            <w:hideMark/>
          </w:tcPr>
          <w:p w:rsidR="00C57BE6" w:rsidRDefault="007177BE" w:rsidP="00C57BE6">
            <w:pPr>
              <w:suppressLineNumbers/>
              <w:jc w:val="both"/>
              <w:rPr>
                <w:rFonts w:ascii="Arial" w:hAnsi="Arial"/>
                <w:b/>
                <w:bCs/>
                <w:noProof w:val="0"/>
                <w:sz w:val="26"/>
                <w:szCs w:val="26"/>
              </w:rPr>
            </w:pPr>
            <w:sdt>
              <w:sdtPr>
                <w:rPr>
                  <w:rtl/>
                </w:rPr>
                <w:alias w:val="1184"/>
                <w:tag w:val="1184"/>
                <w:id w:val="-340621022"/>
                <w:text w:multiLine="1"/>
              </w:sdtPr>
              <w:sdtEndPr/>
              <w:sdtContent>
                <w:r w:rsidR="00C57BE6">
                  <w:rPr>
                    <w:rFonts w:ascii="Arial" w:hAnsi="Arial"/>
                    <w:b/>
                    <w:bCs/>
                    <w:noProof w:val="0"/>
                    <w:sz w:val="26"/>
                    <w:szCs w:val="26"/>
                    <w:rtl/>
                  </w:rPr>
                  <w:t>משיבים</w:t>
                </w:r>
              </w:sdtContent>
            </w:sdt>
          </w:p>
        </w:tc>
        <w:tc>
          <w:tcPr>
            <w:tcW w:w="5571" w:type="dxa"/>
            <w:hideMark/>
          </w:tcPr>
          <w:p w:rsidR="00C57BE6" w:rsidRDefault="007177BE" w:rsidP="00C57BE6">
            <w:pPr>
              <w:suppressLineNumbers/>
              <w:jc w:val="both"/>
            </w:pPr>
            <w:sdt>
              <w:sdtPr>
                <w:rPr>
                  <w:rtl/>
                </w:rPr>
                <w:alias w:val="1571"/>
                <w:tag w:val="1571"/>
                <w:id w:val="1028836282"/>
                <w:text w:multiLine="1"/>
              </w:sdtPr>
              <w:sdtEndPr/>
              <w:sdtContent>
                <w:r w:rsidR="00C57BE6">
                  <w:rPr>
                    <w:rFonts w:ascii="Arial" w:hAnsi="Arial"/>
                    <w:b/>
                    <w:bCs/>
                    <w:noProof w:val="0"/>
                    <w:sz w:val="26"/>
                    <w:szCs w:val="26"/>
                    <w:rtl/>
                  </w:rPr>
                  <w:t>1</w:t>
                </w:r>
              </w:sdtContent>
            </w:sdt>
            <w:r w:rsidR="00C57BE6">
              <w:rPr>
                <w:rFonts w:ascii="Arial" w:hAnsi="Arial"/>
                <w:b/>
                <w:bCs/>
                <w:noProof w:val="0"/>
                <w:sz w:val="26"/>
                <w:szCs w:val="26"/>
                <w:rtl/>
              </w:rPr>
              <w:t xml:space="preserve">. </w:t>
            </w:r>
            <w:sdt>
              <w:sdtPr>
                <w:rPr>
                  <w:rFonts w:ascii="Arial" w:hAnsi="Arial"/>
                  <w:b/>
                  <w:bCs/>
                  <w:noProof w:val="0"/>
                  <w:sz w:val="26"/>
                  <w:szCs w:val="26"/>
                  <w:rtl/>
                </w:rPr>
                <w:alias w:val="3152"/>
                <w:tag w:val="3152"/>
                <w:id w:val="1920052440"/>
                <w:placeholder>
                  <w:docPart w:val="4DDBC9D94956457B8684FFB328B406FF"/>
                </w:placeholder>
                <w:text w:multiLine="1"/>
              </w:sdtPr>
              <w:sdtEndPr/>
              <w:sdtContent>
                <w:r w:rsidR="00C57BE6">
                  <w:rPr>
                    <w:rFonts w:ascii="Arial" w:hAnsi="Arial"/>
                    <w:b/>
                    <w:bCs/>
                    <w:noProof w:val="0"/>
                    <w:sz w:val="26"/>
                    <w:szCs w:val="26"/>
                    <w:rtl/>
                  </w:rPr>
                  <w:t>ש. א. ע.</w:t>
                </w:r>
              </w:sdtContent>
            </w:sdt>
            <w:r w:rsidR="00C57BE6">
              <w:rPr>
                <w:rtl/>
              </w:rPr>
              <w:t xml:space="preserve"> </w:t>
            </w:r>
          </w:p>
          <w:p w:rsidR="00C57BE6" w:rsidRDefault="007177BE" w:rsidP="00C57BE6">
            <w:pPr>
              <w:suppressLineNumbers/>
              <w:jc w:val="both"/>
              <w:rPr>
                <w:rtl/>
              </w:rPr>
            </w:pPr>
            <w:sdt>
              <w:sdtPr>
                <w:rPr>
                  <w:rtl/>
                </w:rPr>
                <w:alias w:val="1571"/>
                <w:tag w:val="1571"/>
                <w:id w:val="757712624"/>
                <w:text w:multiLine="1"/>
              </w:sdtPr>
              <w:sdtEndPr/>
              <w:sdtContent>
                <w:r w:rsidR="00C57BE6">
                  <w:rPr>
                    <w:rFonts w:ascii="Arial" w:hAnsi="Arial"/>
                    <w:b/>
                    <w:bCs/>
                    <w:noProof w:val="0"/>
                    <w:sz w:val="26"/>
                    <w:szCs w:val="26"/>
                    <w:rtl/>
                  </w:rPr>
                  <w:t>2</w:t>
                </w:r>
              </w:sdtContent>
            </w:sdt>
            <w:r w:rsidR="00C57BE6">
              <w:rPr>
                <w:rFonts w:ascii="Arial" w:hAnsi="Arial"/>
                <w:b/>
                <w:bCs/>
                <w:noProof w:val="0"/>
                <w:sz w:val="26"/>
                <w:szCs w:val="26"/>
                <w:rtl/>
              </w:rPr>
              <w:t xml:space="preserve">. </w:t>
            </w:r>
            <w:sdt>
              <w:sdtPr>
                <w:rPr>
                  <w:rFonts w:ascii="Arial" w:hAnsi="Arial"/>
                  <w:b/>
                  <w:bCs/>
                  <w:noProof w:val="0"/>
                  <w:sz w:val="26"/>
                  <w:szCs w:val="26"/>
                  <w:rtl/>
                </w:rPr>
                <w:alias w:val="3152"/>
                <w:tag w:val="3152"/>
                <w:id w:val="350142972"/>
                <w:placeholder>
                  <w:docPart w:val="4DDBC9D94956457B8684FFB328B406FF"/>
                </w:placeholder>
                <w:text w:multiLine="1"/>
              </w:sdtPr>
              <w:sdtEndPr/>
              <w:sdtContent>
                <w:r w:rsidR="00C57BE6">
                  <w:rPr>
                    <w:rFonts w:ascii="Arial" w:hAnsi="Arial"/>
                    <w:b/>
                    <w:bCs/>
                    <w:noProof w:val="0"/>
                    <w:sz w:val="26"/>
                    <w:szCs w:val="26"/>
                    <w:rtl/>
                  </w:rPr>
                  <w:t>ב. ש. ג.</w:t>
                </w:r>
              </w:sdtContent>
            </w:sdt>
            <w:r w:rsidR="00C57BE6">
              <w:rPr>
                <w:rtl/>
              </w:rPr>
              <w:t xml:space="preserve"> </w:t>
            </w:r>
          </w:p>
          <w:p w:rsidR="00C57BE6" w:rsidRDefault="007177BE" w:rsidP="00C57BE6">
            <w:pPr>
              <w:suppressLineNumbers/>
              <w:jc w:val="both"/>
              <w:rPr>
                <w:rtl/>
              </w:rPr>
            </w:pPr>
            <w:sdt>
              <w:sdtPr>
                <w:rPr>
                  <w:rtl/>
                </w:rPr>
                <w:alias w:val="1571"/>
                <w:tag w:val="1571"/>
                <w:id w:val="-1804063556"/>
                <w:text w:multiLine="1"/>
              </w:sdtPr>
              <w:sdtEndPr/>
              <w:sdtContent>
                <w:r w:rsidR="00C57BE6">
                  <w:rPr>
                    <w:rFonts w:ascii="Arial" w:hAnsi="Arial"/>
                    <w:b/>
                    <w:bCs/>
                    <w:noProof w:val="0"/>
                    <w:sz w:val="26"/>
                    <w:szCs w:val="26"/>
                    <w:rtl/>
                  </w:rPr>
                  <w:t>3</w:t>
                </w:r>
              </w:sdtContent>
            </w:sdt>
            <w:r w:rsidR="00C57BE6">
              <w:rPr>
                <w:rFonts w:ascii="Arial" w:hAnsi="Arial"/>
                <w:b/>
                <w:bCs/>
                <w:noProof w:val="0"/>
                <w:sz w:val="26"/>
                <w:szCs w:val="26"/>
                <w:rtl/>
              </w:rPr>
              <w:t xml:space="preserve">. </w:t>
            </w:r>
            <w:sdt>
              <w:sdtPr>
                <w:rPr>
                  <w:rFonts w:ascii="Arial" w:hAnsi="Arial"/>
                  <w:b/>
                  <w:bCs/>
                  <w:noProof w:val="0"/>
                  <w:sz w:val="26"/>
                  <w:szCs w:val="26"/>
                  <w:rtl/>
                </w:rPr>
                <w:alias w:val="3152"/>
                <w:tag w:val="3152"/>
                <w:id w:val="940957929"/>
                <w:placeholder>
                  <w:docPart w:val="4DDBC9D94956457B8684FFB328B406FF"/>
                </w:placeholder>
                <w:text w:multiLine="1"/>
              </w:sdtPr>
              <w:sdtEndPr/>
              <w:sdtContent>
                <w:r w:rsidR="00C57BE6">
                  <w:rPr>
                    <w:rFonts w:ascii="Arial" w:hAnsi="Arial"/>
                    <w:b/>
                    <w:bCs/>
                    <w:noProof w:val="0"/>
                    <w:sz w:val="26"/>
                    <w:szCs w:val="26"/>
                    <w:rtl/>
                  </w:rPr>
                  <w:t>י. א.</w:t>
                </w:r>
              </w:sdtContent>
            </w:sdt>
            <w:r w:rsidR="00C57BE6">
              <w:rPr>
                <w:rtl/>
              </w:rPr>
              <w:t xml:space="preserve"> </w:t>
            </w:r>
          </w:p>
          <w:p w:rsidR="00C57BE6" w:rsidRDefault="007177BE" w:rsidP="00C57BE6">
            <w:pPr>
              <w:suppressLineNumbers/>
              <w:jc w:val="both"/>
              <w:rPr>
                <w:rtl/>
              </w:rPr>
            </w:pPr>
            <w:sdt>
              <w:sdtPr>
                <w:rPr>
                  <w:rtl/>
                </w:rPr>
                <w:alias w:val="1571"/>
                <w:tag w:val="1571"/>
                <w:id w:val="1926993019"/>
                <w:text w:multiLine="1"/>
              </w:sdtPr>
              <w:sdtEndPr/>
              <w:sdtContent>
                <w:r w:rsidR="00C57BE6">
                  <w:rPr>
                    <w:rFonts w:ascii="Arial" w:hAnsi="Arial"/>
                    <w:b/>
                    <w:bCs/>
                    <w:noProof w:val="0"/>
                    <w:sz w:val="26"/>
                    <w:szCs w:val="26"/>
                    <w:rtl/>
                  </w:rPr>
                  <w:t>4</w:t>
                </w:r>
              </w:sdtContent>
            </w:sdt>
            <w:r w:rsidR="00C57BE6">
              <w:rPr>
                <w:rFonts w:ascii="Arial" w:hAnsi="Arial"/>
                <w:b/>
                <w:bCs/>
                <w:noProof w:val="0"/>
                <w:sz w:val="26"/>
                <w:szCs w:val="26"/>
                <w:rtl/>
              </w:rPr>
              <w:t xml:space="preserve">. </w:t>
            </w:r>
            <w:sdt>
              <w:sdtPr>
                <w:rPr>
                  <w:rFonts w:ascii="Arial" w:hAnsi="Arial"/>
                  <w:b/>
                  <w:bCs/>
                  <w:noProof w:val="0"/>
                  <w:sz w:val="26"/>
                  <w:szCs w:val="26"/>
                  <w:rtl/>
                </w:rPr>
                <w:alias w:val="3152"/>
                <w:tag w:val="3152"/>
                <w:id w:val="1153798211"/>
                <w:placeholder>
                  <w:docPart w:val="4DDBC9D94956457B8684FFB328B406FF"/>
                </w:placeholder>
                <w:text w:multiLine="1"/>
              </w:sdtPr>
              <w:sdtEndPr/>
              <w:sdtContent>
                <w:r w:rsidR="00C57BE6">
                  <w:rPr>
                    <w:rFonts w:ascii="Arial" w:hAnsi="Arial"/>
                    <w:b/>
                    <w:bCs/>
                    <w:noProof w:val="0"/>
                    <w:sz w:val="26"/>
                    <w:szCs w:val="26"/>
                    <w:rtl/>
                  </w:rPr>
                  <w:t>ר. א.</w:t>
                </w:r>
              </w:sdtContent>
            </w:sdt>
            <w:r w:rsidR="00C57BE6">
              <w:rPr>
                <w:rtl/>
              </w:rPr>
              <w:t xml:space="preserve"> </w:t>
            </w:r>
          </w:p>
          <w:p w:rsidR="00C57BE6" w:rsidRDefault="007177BE" w:rsidP="00C57BE6">
            <w:pPr>
              <w:suppressLineNumbers/>
              <w:jc w:val="both"/>
              <w:rPr>
                <w:rtl/>
              </w:rPr>
            </w:pPr>
            <w:sdt>
              <w:sdtPr>
                <w:rPr>
                  <w:rtl/>
                </w:rPr>
                <w:alias w:val="1571"/>
                <w:tag w:val="1571"/>
                <w:id w:val="224570844"/>
                <w:text w:multiLine="1"/>
              </w:sdtPr>
              <w:sdtEndPr/>
              <w:sdtContent>
                <w:r w:rsidR="00C57BE6">
                  <w:rPr>
                    <w:rFonts w:ascii="Arial" w:hAnsi="Arial"/>
                    <w:b/>
                    <w:bCs/>
                    <w:noProof w:val="0"/>
                    <w:sz w:val="26"/>
                    <w:szCs w:val="26"/>
                    <w:rtl/>
                  </w:rPr>
                  <w:t>5</w:t>
                </w:r>
              </w:sdtContent>
            </w:sdt>
            <w:r w:rsidR="00C57BE6">
              <w:rPr>
                <w:rFonts w:ascii="Arial" w:hAnsi="Arial"/>
                <w:b/>
                <w:bCs/>
                <w:noProof w:val="0"/>
                <w:sz w:val="26"/>
                <w:szCs w:val="26"/>
                <w:rtl/>
              </w:rPr>
              <w:t xml:space="preserve">. </w:t>
            </w:r>
            <w:sdt>
              <w:sdtPr>
                <w:rPr>
                  <w:rFonts w:ascii="Arial" w:hAnsi="Arial"/>
                  <w:b/>
                  <w:bCs/>
                  <w:noProof w:val="0"/>
                  <w:sz w:val="26"/>
                  <w:szCs w:val="26"/>
                  <w:rtl/>
                </w:rPr>
                <w:alias w:val="3152"/>
                <w:tag w:val="3152"/>
                <w:id w:val="456146173"/>
                <w:placeholder>
                  <w:docPart w:val="4DDBC9D94956457B8684FFB328B406FF"/>
                </w:placeholder>
                <w:text w:multiLine="1"/>
              </w:sdtPr>
              <w:sdtEndPr/>
              <w:sdtContent>
                <w:r w:rsidR="00C57BE6">
                  <w:rPr>
                    <w:rFonts w:ascii="Arial" w:hAnsi="Arial"/>
                    <w:b/>
                    <w:bCs/>
                    <w:noProof w:val="0"/>
                    <w:sz w:val="26"/>
                    <w:szCs w:val="26"/>
                    <w:rtl/>
                  </w:rPr>
                  <w:t>מ. נ.</w:t>
                </w:r>
              </w:sdtContent>
            </w:sdt>
            <w:r w:rsidR="00C57BE6">
              <w:rPr>
                <w:rtl/>
              </w:rPr>
              <w:t xml:space="preserve"> </w:t>
            </w:r>
          </w:p>
          <w:p w:rsidR="00C57BE6" w:rsidRDefault="007177BE" w:rsidP="00C57BE6">
            <w:pPr>
              <w:suppressLineNumbers/>
              <w:jc w:val="both"/>
              <w:rPr>
                <w:rtl/>
              </w:rPr>
            </w:pPr>
            <w:sdt>
              <w:sdtPr>
                <w:rPr>
                  <w:rtl/>
                </w:rPr>
                <w:alias w:val="1571"/>
                <w:tag w:val="1571"/>
                <w:id w:val="1478341452"/>
                <w:text w:multiLine="1"/>
              </w:sdtPr>
              <w:sdtEndPr/>
              <w:sdtContent>
                <w:r w:rsidR="00C57BE6">
                  <w:rPr>
                    <w:rFonts w:ascii="Arial" w:hAnsi="Arial"/>
                    <w:b/>
                    <w:bCs/>
                    <w:noProof w:val="0"/>
                    <w:sz w:val="26"/>
                    <w:szCs w:val="26"/>
                    <w:rtl/>
                  </w:rPr>
                  <w:t>6</w:t>
                </w:r>
              </w:sdtContent>
            </w:sdt>
            <w:r w:rsidR="00C57BE6">
              <w:rPr>
                <w:rFonts w:ascii="Arial" w:hAnsi="Arial"/>
                <w:b/>
                <w:bCs/>
                <w:noProof w:val="0"/>
                <w:sz w:val="26"/>
                <w:szCs w:val="26"/>
                <w:rtl/>
              </w:rPr>
              <w:t xml:space="preserve">. </w:t>
            </w:r>
            <w:sdt>
              <w:sdtPr>
                <w:rPr>
                  <w:rFonts w:ascii="Arial" w:hAnsi="Arial"/>
                  <w:b/>
                  <w:bCs/>
                  <w:noProof w:val="0"/>
                  <w:sz w:val="26"/>
                  <w:szCs w:val="26"/>
                  <w:rtl/>
                </w:rPr>
                <w:alias w:val="3152"/>
                <w:tag w:val="3152"/>
                <w:id w:val="-2118516774"/>
                <w:placeholder>
                  <w:docPart w:val="4DDBC9D94956457B8684FFB328B406FF"/>
                </w:placeholder>
                <w:text w:multiLine="1"/>
              </w:sdtPr>
              <w:sdtEndPr/>
              <w:sdtContent>
                <w:r w:rsidR="00C57BE6">
                  <w:rPr>
                    <w:rFonts w:ascii="Arial" w:hAnsi="Arial"/>
                    <w:b/>
                    <w:bCs/>
                    <w:noProof w:val="0"/>
                    <w:sz w:val="26"/>
                    <w:szCs w:val="26"/>
                    <w:rtl/>
                  </w:rPr>
                  <w:t>י. ר.</w:t>
                </w:r>
              </w:sdtContent>
            </w:sdt>
            <w:r w:rsidR="00C57BE6">
              <w:rPr>
                <w:rtl/>
              </w:rPr>
              <w:t xml:space="preserve"> </w:t>
            </w:r>
          </w:p>
          <w:p w:rsidR="00C57BE6" w:rsidRDefault="007177BE" w:rsidP="00C57BE6">
            <w:pPr>
              <w:suppressLineNumbers/>
              <w:jc w:val="both"/>
              <w:rPr>
                <w:rtl/>
              </w:rPr>
            </w:pPr>
            <w:sdt>
              <w:sdtPr>
                <w:rPr>
                  <w:rtl/>
                </w:rPr>
                <w:alias w:val="1571"/>
                <w:tag w:val="1571"/>
                <w:id w:val="-1765452401"/>
                <w:text w:multiLine="1"/>
              </w:sdtPr>
              <w:sdtEndPr/>
              <w:sdtContent>
                <w:r w:rsidR="00C57BE6">
                  <w:rPr>
                    <w:rFonts w:ascii="Arial" w:hAnsi="Arial"/>
                    <w:b/>
                    <w:bCs/>
                    <w:noProof w:val="0"/>
                    <w:sz w:val="26"/>
                    <w:szCs w:val="26"/>
                    <w:rtl/>
                  </w:rPr>
                  <w:t>7</w:t>
                </w:r>
              </w:sdtContent>
            </w:sdt>
            <w:r w:rsidR="00C57BE6">
              <w:rPr>
                <w:rFonts w:ascii="Arial" w:hAnsi="Arial"/>
                <w:b/>
                <w:bCs/>
                <w:noProof w:val="0"/>
                <w:sz w:val="26"/>
                <w:szCs w:val="26"/>
                <w:rtl/>
              </w:rPr>
              <w:t xml:space="preserve">. </w:t>
            </w:r>
            <w:sdt>
              <w:sdtPr>
                <w:rPr>
                  <w:rFonts w:ascii="Arial" w:hAnsi="Arial"/>
                  <w:b/>
                  <w:bCs/>
                  <w:noProof w:val="0"/>
                  <w:sz w:val="26"/>
                  <w:szCs w:val="26"/>
                  <w:rtl/>
                </w:rPr>
                <w:alias w:val="3152"/>
                <w:tag w:val="3152"/>
                <w:id w:val="763266223"/>
                <w:placeholder>
                  <w:docPart w:val="4DDBC9D94956457B8684FFB328B406FF"/>
                </w:placeholder>
                <w:text w:multiLine="1"/>
              </w:sdtPr>
              <w:sdtEndPr/>
              <w:sdtContent>
                <w:r w:rsidR="00C57BE6">
                  <w:rPr>
                    <w:rFonts w:ascii="Arial" w:hAnsi="Arial"/>
                    <w:b/>
                    <w:bCs/>
                    <w:noProof w:val="0"/>
                    <w:sz w:val="26"/>
                    <w:szCs w:val="26"/>
                    <w:rtl/>
                  </w:rPr>
                  <w:t>י. א.</w:t>
                </w:r>
              </w:sdtContent>
            </w:sdt>
            <w:r w:rsidR="00C57BE6">
              <w:rPr>
                <w:rtl/>
              </w:rPr>
              <w:t xml:space="preserve"> </w:t>
            </w:r>
          </w:p>
          <w:p w:rsidR="00C57BE6" w:rsidRDefault="007177BE" w:rsidP="00C57BE6">
            <w:pPr>
              <w:suppressLineNumbers/>
              <w:jc w:val="both"/>
              <w:rPr>
                <w:rtl/>
              </w:rPr>
            </w:pPr>
            <w:sdt>
              <w:sdtPr>
                <w:rPr>
                  <w:rtl/>
                </w:rPr>
                <w:alias w:val="1571"/>
                <w:tag w:val="1571"/>
                <w:id w:val="1786924880"/>
                <w:text w:multiLine="1"/>
              </w:sdtPr>
              <w:sdtEndPr/>
              <w:sdtContent>
                <w:r w:rsidR="00C57BE6">
                  <w:rPr>
                    <w:rFonts w:ascii="Arial" w:hAnsi="Arial"/>
                    <w:b/>
                    <w:bCs/>
                    <w:noProof w:val="0"/>
                    <w:sz w:val="26"/>
                    <w:szCs w:val="26"/>
                    <w:rtl/>
                  </w:rPr>
                  <w:t>8</w:t>
                </w:r>
              </w:sdtContent>
            </w:sdt>
            <w:r w:rsidR="00C57BE6">
              <w:rPr>
                <w:rFonts w:ascii="Arial" w:hAnsi="Arial"/>
                <w:b/>
                <w:bCs/>
                <w:noProof w:val="0"/>
                <w:sz w:val="26"/>
                <w:szCs w:val="26"/>
                <w:rtl/>
              </w:rPr>
              <w:t xml:space="preserve">. </w:t>
            </w:r>
            <w:sdt>
              <w:sdtPr>
                <w:rPr>
                  <w:rFonts w:ascii="Arial" w:hAnsi="Arial"/>
                  <w:b/>
                  <w:bCs/>
                  <w:noProof w:val="0"/>
                  <w:sz w:val="26"/>
                  <w:szCs w:val="26"/>
                  <w:rtl/>
                </w:rPr>
                <w:alias w:val="3152"/>
                <w:tag w:val="3152"/>
                <w:id w:val="1053276281"/>
                <w:placeholder>
                  <w:docPart w:val="4DDBC9D94956457B8684FFB328B406FF"/>
                </w:placeholder>
                <w:text w:multiLine="1"/>
              </w:sdtPr>
              <w:sdtEndPr/>
              <w:sdtContent>
                <w:r w:rsidR="00C57BE6">
                  <w:rPr>
                    <w:rFonts w:ascii="Arial" w:hAnsi="Arial"/>
                    <w:b/>
                    <w:bCs/>
                    <w:noProof w:val="0"/>
                    <w:sz w:val="26"/>
                    <w:szCs w:val="26"/>
                    <w:rtl/>
                  </w:rPr>
                  <w:t>האפוטרופוס הכללי במחוז תל-אביב</w:t>
                </w:r>
              </w:sdtContent>
            </w:sdt>
            <w:r w:rsidR="00C57BE6">
              <w:rPr>
                <w:rtl/>
              </w:rPr>
              <w:t xml:space="preserve"> </w:t>
            </w:r>
          </w:p>
        </w:tc>
      </w:tr>
      <w:tr w:rsidR="00C57BE6" w:rsidTr="00C57BE6">
        <w:trPr>
          <w:jc w:val="center"/>
        </w:trPr>
        <w:tc>
          <w:tcPr>
            <w:tcW w:w="8820" w:type="dxa"/>
            <w:gridSpan w:val="3"/>
          </w:tcPr>
          <w:p w:rsidR="00C57BE6" w:rsidRDefault="00C57BE6" w:rsidP="00C57BE6">
            <w:pPr>
              <w:suppressLineNumbers/>
              <w:jc w:val="both"/>
              <w:rPr>
                <w:rtl/>
              </w:rPr>
            </w:pPr>
          </w:p>
        </w:tc>
      </w:tr>
    </w:tbl>
    <w:p w:rsidR="00C57BE6" w:rsidRDefault="00C57BE6" w:rsidP="00C57BE6">
      <w:pPr>
        <w:suppressLineNumbers/>
        <w:jc w:val="both"/>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C57BE6" w:rsidTr="00C57BE6">
        <w:trPr>
          <w:jc w:val="center"/>
        </w:trPr>
        <w:tc>
          <w:tcPr>
            <w:tcW w:w="8820" w:type="dxa"/>
          </w:tcPr>
          <w:p w:rsidR="00C57BE6" w:rsidRDefault="00C57BE6">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C57BE6" w:rsidRDefault="00C57BE6">
            <w:pPr>
              <w:bidi w:val="0"/>
              <w:jc w:val="center"/>
              <w:rPr>
                <w:rFonts w:ascii="Arial" w:hAnsi="Arial"/>
                <w:b/>
                <w:bCs/>
                <w:noProof w:val="0"/>
                <w:sz w:val="28"/>
                <w:szCs w:val="28"/>
                <w:u w:val="single"/>
                <w:rtl/>
              </w:rPr>
            </w:pPr>
          </w:p>
        </w:tc>
      </w:tr>
    </w:tbl>
    <w:p w:rsidR="00C57BE6" w:rsidRDefault="00C57BE6" w:rsidP="00C57BE6">
      <w:pPr>
        <w:spacing w:line="360" w:lineRule="auto"/>
        <w:jc w:val="both"/>
        <w:rPr>
          <w:rFonts w:ascii="Narkisim" w:hAnsi="Narkisim" w:cs="Narkisim"/>
          <w:noProof w:val="0"/>
          <w:sz w:val="28"/>
          <w:szCs w:val="28"/>
        </w:rPr>
      </w:pPr>
      <w:bookmarkStart w:id="0" w:name="NGCSBookmark"/>
      <w:bookmarkEnd w:id="0"/>
      <w:r>
        <w:rPr>
          <w:rFonts w:ascii="Narkisim" w:hAnsi="Narkisim" w:cs="Narkisim"/>
          <w:sz w:val="28"/>
          <w:szCs w:val="28"/>
          <w:rtl/>
        </w:rPr>
        <w:t xml:space="preserve">ערעור על פסק-דין של בית המשפט לענייני משפחה בפתח תקווה (כבוד השופטת </w:t>
      </w:r>
      <w:r>
        <w:rPr>
          <w:rFonts w:ascii="Miriam" w:hAnsi="Miriam" w:cs="Miriam"/>
          <w:rtl/>
        </w:rPr>
        <w:t>הילה מלר-שלו</w:t>
      </w:r>
      <w:r>
        <w:rPr>
          <w:rFonts w:ascii="Narkisim" w:hAnsi="Narkisim" w:cs="Narkisim"/>
          <w:sz w:val="28"/>
          <w:szCs w:val="28"/>
          <w:rtl/>
        </w:rPr>
        <w:t xml:space="preserve">), מיום 5.9.2022 במסגרתו דחה בית המשפט את תביעת המערער לביטול החלטה מיום 19.7.16 המאשרת הסכם פשרה בין הצדדים (להלן: </w:t>
      </w:r>
      <w:r>
        <w:rPr>
          <w:rFonts w:ascii="Miriam" w:hAnsi="Miriam" w:cs="Miriam"/>
          <w:rtl/>
        </w:rPr>
        <w:t>ההחלטה</w:t>
      </w:r>
      <w:r>
        <w:rPr>
          <w:rFonts w:ascii="Narkisim" w:hAnsi="Narkisim" w:cs="Narkisim"/>
          <w:sz w:val="28"/>
          <w:szCs w:val="28"/>
          <w:rtl/>
        </w:rPr>
        <w:t xml:space="preserve">). טענת המערער העומדת בבסיס התביעה לביטול ההחלטה היא כי הסכם הפשרה נערך שלא בנוכחותו או בהסכמתו, וכי בא כוחו לא היה מורשה לקבל ההסכמה בשמו.   </w:t>
      </w:r>
    </w:p>
    <w:p w:rsidR="00C57BE6" w:rsidRDefault="00C57BE6" w:rsidP="00C57BE6">
      <w:pPr>
        <w:spacing w:line="360" w:lineRule="auto"/>
        <w:jc w:val="both"/>
        <w:rPr>
          <w:rFonts w:ascii="Narkisim" w:hAnsi="Narkisim" w:cs="Narkisim"/>
          <w:sz w:val="28"/>
          <w:szCs w:val="28"/>
        </w:rPr>
      </w:pPr>
    </w:p>
    <w:p w:rsidR="00C57BE6" w:rsidRDefault="00C57BE6" w:rsidP="00C57BE6">
      <w:pPr>
        <w:spacing w:line="360" w:lineRule="auto"/>
        <w:jc w:val="both"/>
        <w:rPr>
          <w:rFonts w:ascii="Miriam" w:hAnsi="Miriam" w:cs="Miriam"/>
          <w:sz w:val="22"/>
          <w:szCs w:val="22"/>
          <w:rtl/>
        </w:rPr>
      </w:pPr>
      <w:r>
        <w:rPr>
          <w:rFonts w:ascii="Miriam" w:hAnsi="Miriam" w:cs="Miriam"/>
          <w:rtl/>
        </w:rPr>
        <w:t>הנדרש לנדון ופסק הדין קמא</w:t>
      </w:r>
    </w:p>
    <w:p w:rsidR="00C57BE6" w:rsidRDefault="00C57BE6" w:rsidP="00C57BE6">
      <w:pPr>
        <w:spacing w:line="360" w:lineRule="auto"/>
        <w:jc w:val="both"/>
        <w:rPr>
          <w:rFonts w:ascii="Miriam" w:hAnsi="Miriam" w:cs="Miriam"/>
          <w:sz w:val="22"/>
          <w:szCs w:val="22"/>
          <w:rtl/>
        </w:rPr>
      </w:pPr>
    </w:p>
    <w:p w:rsidR="00C57BE6" w:rsidRDefault="00C57BE6" w:rsidP="006E1406">
      <w:pPr>
        <w:spacing w:line="360" w:lineRule="auto"/>
        <w:jc w:val="both"/>
        <w:rPr>
          <w:rFonts w:ascii="Narkisim" w:hAnsi="Narkisim" w:cs="Narkisim"/>
          <w:sz w:val="28"/>
          <w:szCs w:val="28"/>
          <w:rtl/>
        </w:rPr>
      </w:pPr>
      <w:r>
        <w:rPr>
          <w:rFonts w:ascii="Narkisim" w:hAnsi="Narkisim" w:cs="Narkisim"/>
          <w:sz w:val="28"/>
          <w:szCs w:val="28"/>
          <w:rtl/>
        </w:rPr>
        <w:t>1.</w:t>
      </w:r>
      <w:r>
        <w:rPr>
          <w:rFonts w:ascii="Narkisim" w:hAnsi="Narkisim" w:cs="Narkisim"/>
          <w:sz w:val="28"/>
          <w:szCs w:val="28"/>
          <w:rtl/>
        </w:rPr>
        <w:tab/>
        <w:t xml:space="preserve">המערער והמשיבים הם אחים, ילדיו של המנוח </w:t>
      </w:r>
      <w:r w:rsidR="006E1406">
        <w:rPr>
          <w:rFonts w:ascii="Narkisim" w:hAnsi="Narkisim" w:cs="Narkisim" w:hint="cs"/>
          <w:sz w:val="28"/>
          <w:szCs w:val="28"/>
          <w:rtl/>
        </w:rPr>
        <w:t xml:space="preserve">א. ל. </w:t>
      </w:r>
      <w:r>
        <w:rPr>
          <w:rFonts w:ascii="Narkisim" w:hAnsi="Narkisim" w:cs="Narkisim"/>
          <w:sz w:val="28"/>
          <w:szCs w:val="28"/>
          <w:rtl/>
        </w:rPr>
        <w:t xml:space="preserve"> ז"ל (להלן : </w:t>
      </w:r>
      <w:r>
        <w:rPr>
          <w:rFonts w:ascii="Miriam" w:hAnsi="Miriam" w:cs="Miriam"/>
          <w:rtl/>
        </w:rPr>
        <w:t>המנוח</w:t>
      </w:r>
      <w:r>
        <w:rPr>
          <w:rFonts w:ascii="Narkisim" w:hAnsi="Narkisim" w:cs="Narkisim"/>
          <w:sz w:val="28"/>
          <w:szCs w:val="28"/>
          <w:rtl/>
        </w:rPr>
        <w:t xml:space="preserve">) שנפטר בשנת 2015, ואשר החזיק בזכויות בנחלה הידועה כמשק מס' 4 במושב </w:t>
      </w:r>
      <w:r w:rsidR="006E1406">
        <w:rPr>
          <w:rFonts w:ascii="Narkisim" w:hAnsi="Narkisim" w:cs="Narkisim" w:hint="cs"/>
          <w:sz w:val="28"/>
          <w:szCs w:val="28"/>
          <w:rtl/>
        </w:rPr>
        <w:t>***</w:t>
      </w:r>
      <w:r>
        <w:rPr>
          <w:rFonts w:ascii="Narkisim" w:hAnsi="Narkisim" w:cs="Narkisim"/>
          <w:sz w:val="28"/>
          <w:szCs w:val="28"/>
          <w:rtl/>
        </w:rPr>
        <w:t xml:space="preserve">, בגוש </w:t>
      </w:r>
      <w:r w:rsidR="006E1406">
        <w:rPr>
          <w:rFonts w:ascii="Narkisim" w:hAnsi="Narkisim" w:cs="Narkisim" w:hint="cs"/>
          <w:sz w:val="28"/>
          <w:szCs w:val="28"/>
          <w:rtl/>
        </w:rPr>
        <w:t>***</w:t>
      </w:r>
      <w:r>
        <w:rPr>
          <w:rFonts w:ascii="Narkisim" w:hAnsi="Narkisim" w:cs="Narkisim"/>
          <w:sz w:val="28"/>
          <w:szCs w:val="28"/>
          <w:rtl/>
        </w:rPr>
        <w:t xml:space="preserve">, חלקה </w:t>
      </w:r>
      <w:r w:rsidR="006E1406">
        <w:rPr>
          <w:rFonts w:ascii="Narkisim" w:hAnsi="Narkisim" w:cs="Narkisim" w:hint="cs"/>
          <w:sz w:val="28"/>
          <w:szCs w:val="28"/>
          <w:rtl/>
        </w:rPr>
        <w:t>*</w:t>
      </w:r>
      <w:r>
        <w:rPr>
          <w:rFonts w:ascii="Narkisim" w:hAnsi="Narkisim" w:cs="Narkisim"/>
          <w:sz w:val="28"/>
          <w:szCs w:val="28"/>
          <w:rtl/>
        </w:rPr>
        <w:t>(להלן:</w:t>
      </w:r>
      <w:r>
        <w:rPr>
          <w:rFonts w:ascii="Miriam" w:hAnsi="Miriam" w:cs="Miriam"/>
          <w:rtl/>
        </w:rPr>
        <w:t xml:space="preserve"> המשק</w:t>
      </w:r>
      <w:r>
        <w:rPr>
          <w:rFonts w:ascii="Narkisim" w:hAnsi="Narkisim" w:cs="Narkisim"/>
          <w:sz w:val="28"/>
          <w:szCs w:val="28"/>
          <w:rtl/>
        </w:rPr>
        <w:t>).</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2.</w:t>
      </w:r>
      <w:r>
        <w:rPr>
          <w:rFonts w:ascii="Narkisim" w:hAnsi="Narkisim" w:cs="Narkisim"/>
          <w:sz w:val="28"/>
          <w:szCs w:val="28"/>
          <w:rtl/>
        </w:rPr>
        <w:tab/>
        <w:t xml:space="preserve">ביום 13.4.16 הגיש המערער תביעה לסעד הצהרתי הקובע כי המשק אינו חלק מעיזבון  המנוח וכי יש לרשום את  הזכויות במשק  על שמו כבן ממשיך (תלה"מ 25547-04-16).  הנתבעים התנגדו למבוקש  וטענו כי המערער כלל לא התגורר במשק לאורך זמן, אלא פלש אליו בסמוך להגשת התביעה בשנת 2016 וכי אין בידו ולו ראשית </w:t>
      </w:r>
      <w:r>
        <w:rPr>
          <w:rFonts w:ascii="Narkisim" w:hAnsi="Narkisim" w:cs="Narkisim"/>
          <w:sz w:val="28"/>
          <w:szCs w:val="28"/>
          <w:rtl/>
        </w:rPr>
        <w:lastRenderedPageBreak/>
        <w:t xml:space="preserve">ראייה לכך שההורים הכירו בו או מינו אותו כבן ממשיך. יתר על כן, אף מצוואת המנוח עולה, כי המנוח לא ראה במערער כבן ממשיך שכן הדיר אותו כליל  מעזבונו.  </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3.</w:t>
      </w:r>
      <w:r>
        <w:rPr>
          <w:rFonts w:ascii="Narkisim" w:hAnsi="Narkisim" w:cs="Narkisim"/>
          <w:sz w:val="28"/>
          <w:szCs w:val="28"/>
          <w:rtl/>
        </w:rPr>
        <w:tab/>
        <w:t xml:space="preserve">ביום 19.7.2016, נערך דיון לפני כבוד השופט ע. אליאס, בבית המשפט לענייני משפחה בראשון לציון,  במהלכו  גובשו הסכמות בין הצדדים, אשר קיבלו תוקף של  החלטה (להלן: </w:t>
      </w:r>
      <w:r>
        <w:rPr>
          <w:rFonts w:ascii="Miriam" w:hAnsi="Miriam" w:cs="Miriam"/>
          <w:rtl/>
        </w:rPr>
        <w:t>ההסכם</w:t>
      </w:r>
      <w:r>
        <w:rPr>
          <w:rFonts w:ascii="Narkisim" w:hAnsi="Narkisim" w:cs="Narkisim"/>
          <w:sz w:val="28"/>
          <w:szCs w:val="28"/>
          <w:rtl/>
        </w:rPr>
        <w:t xml:space="preserve"> או </w:t>
      </w:r>
      <w:r>
        <w:rPr>
          <w:rFonts w:ascii="Miriam" w:hAnsi="Miriam" w:cs="Miriam"/>
          <w:rtl/>
        </w:rPr>
        <w:t>הסכם הפשרה</w:t>
      </w:r>
      <w:r>
        <w:rPr>
          <w:rFonts w:ascii="Narkisim" w:hAnsi="Narkisim" w:cs="Narkisim"/>
          <w:sz w:val="28"/>
          <w:szCs w:val="28"/>
          <w:rtl/>
        </w:rPr>
        <w:t xml:space="preserve">). </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 xml:space="preserve">בקיצור מילין נאמר כי עיקרו של ההסכם הוא בהכמת הצדדים שהמשק יוצא למכירה כפנוי, כאשר תחילה תתבצע התמחרות בין האחים בלבד, כאשר התמורה שתתקבל מהקונה תופקד בנאמנות אצל ב"כ הצדדים, שישמשו כמנהלי המכירה וישומו את שווי המשק באמצעות שמאי מטעם בית המשפט. ככל שהמחיר הגבוה ביותר שיוצע בהתמחרות בין הצדדים להליך יהיה זהה או גבוה מהערכת השמאי יימכר המשק למציע, ובאם יפחת מהערכת השמאי יימכר המשק בשוק החופשי. לאחר ביצוע המכר וקבלת התמורה יוסיפו הצדדים ויטענו באשר לאופן חלוקת התמורה.   </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4.</w:t>
      </w:r>
      <w:r>
        <w:rPr>
          <w:rFonts w:ascii="Narkisim" w:hAnsi="Narkisim" w:cs="Narkisim"/>
          <w:sz w:val="28"/>
          <w:szCs w:val="28"/>
          <w:rtl/>
        </w:rPr>
        <w:tab/>
        <w:t xml:space="preserve">לאחר מספר ימים, ביום 22.7.2016, הגיש ב"כ המערער בקשה לתיקון פרוטוקול בה עתר להוסיף דברים שנאמרו על ידי בית המשפט כחלק מההסכמה ואשר לא מצאו ביטוי בפרוטוקול שעיקרם כי המערער יוכל להוסיף ולהתגורר במשק עד למכירתו. בהחלטתו מיום 10.8.16 קבע בית המשפט כי "אין צורך בתיקון הפרוטוקול. ברי כי עד למכירת המשק ימשיכו הצדדים לנהוג כפי שנהגו עד כה - בכבוד הדדי איש לרעהו ובאופן שיכבד אותם ואת זכר אביהם המנוח".  </w:t>
      </w: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בהמשך, ונוכח הסכמת הצדדים, מונה ביום 3.9.2016 שמאי להערכת שווי המשק.</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5.</w:t>
      </w:r>
      <w:r>
        <w:rPr>
          <w:rFonts w:ascii="Narkisim" w:hAnsi="Narkisim" w:cs="Narkisim"/>
          <w:sz w:val="28"/>
          <w:szCs w:val="28"/>
          <w:rtl/>
        </w:rPr>
        <w:tab/>
        <w:t xml:space="preserve">ביום 11.9.2016 הוגשה הודעת המערער כי בא כוחו, עו"ד שר, אינו מייצגו עוד וכי תחתיו מונה עו"ד גביש, וזאת לצורך הליכים לביטול ההחלטה מיום 19.7.2016.  </w:t>
      </w: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 xml:space="preserve">מכל מקום,  ביום 12.9.2016 עתר המערער "לביטול ההחלטה מיום 19/7/16". בבקשה טען כי  כלל לא נתן הסכמתו להסכמות שאושרו על ידי בית המשפט. </w:t>
      </w: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 xml:space="preserve">אחר שהתקבלו  תגובות הצדדים, נוהל דיון ביום 24.11.2016, במהלכו הסכימו ב"כ הצדדים כי "תינתן החלטה על סמך כתבי הטענות והטיעונים כאן בבית המשפט. אין צורך בחקירת מי מהצדדים". </w:t>
      </w: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lastRenderedPageBreak/>
        <w:t>6.</w:t>
      </w:r>
      <w:r>
        <w:rPr>
          <w:rFonts w:ascii="Narkisim" w:hAnsi="Narkisim" w:cs="Narkisim"/>
          <w:sz w:val="28"/>
          <w:szCs w:val="28"/>
          <w:rtl/>
        </w:rPr>
        <w:tab/>
        <w:t xml:space="preserve">ביום 1.12.2016 התקבלה החלטה הדוחה את בקשת המערער ועיקרה הבהרת בית המשפט כי בדיון מיום 19.7.16 נוהל דין ודברים שלא מצא ביטוי בפרוטוקול בשל שביתת קלדניות, וכי במהלכו של הדיון יוצג המערער על ידי עו"ד יורם שר והוא עצמו  נכח באולם בית המשפט בעת גיבוש ההסכמה. נוכח חשיבות ההחלטה יובאו חלקים נכבדים ממנה כלשונם: </w:t>
      </w:r>
    </w:p>
    <w:p w:rsidR="00C57BE6" w:rsidRDefault="00C57BE6" w:rsidP="00C57BE6">
      <w:pPr>
        <w:spacing w:line="360" w:lineRule="auto"/>
        <w:jc w:val="both"/>
        <w:rPr>
          <w:rFonts w:ascii="Narkisim" w:hAnsi="Narkisim" w:cs="Narkisim"/>
          <w:sz w:val="28"/>
          <w:szCs w:val="28"/>
          <w:rtl/>
        </w:rPr>
      </w:pPr>
    </w:p>
    <w:p w:rsidR="00C57BE6" w:rsidRDefault="00C57BE6" w:rsidP="00C57BE6">
      <w:pPr>
        <w:ind w:left="1077" w:right="851"/>
        <w:jc w:val="both"/>
        <w:rPr>
          <w:rFonts w:ascii="Narkisim" w:hAnsi="Narkisim" w:cs="Narkisim"/>
          <w:sz w:val="28"/>
          <w:szCs w:val="28"/>
          <w:rtl/>
        </w:rPr>
      </w:pPr>
      <w:r>
        <w:rPr>
          <w:rFonts w:ascii="Narkisim" w:hAnsi="Narkisim" w:cs="Narkisim"/>
          <w:sz w:val="28"/>
          <w:szCs w:val="28"/>
          <w:rtl/>
        </w:rPr>
        <w:t>"...15.</w:t>
      </w:r>
      <w:r>
        <w:rPr>
          <w:rFonts w:ascii="Narkisim" w:hAnsi="Narkisim" w:cs="Narkisim"/>
          <w:sz w:val="28"/>
          <w:szCs w:val="28"/>
          <w:rtl/>
        </w:rPr>
        <w:tab/>
        <w:t>עיון בפרוטוקול הדיון, כמו גם ביתר ההליכים בתיק, מלמד כי התובע ידע היטב אודות הפשרה ונתן לה את הסכמתו.</w:t>
      </w:r>
    </w:p>
    <w:p w:rsidR="00C57BE6" w:rsidRDefault="00C57BE6" w:rsidP="00C57BE6">
      <w:pPr>
        <w:ind w:left="1077" w:right="851"/>
        <w:jc w:val="both"/>
        <w:rPr>
          <w:rFonts w:ascii="Narkisim" w:hAnsi="Narkisim" w:cs="Narkisim"/>
          <w:sz w:val="28"/>
          <w:szCs w:val="28"/>
          <w:rtl/>
        </w:rPr>
      </w:pPr>
      <w:r>
        <w:rPr>
          <w:rFonts w:ascii="Narkisim" w:hAnsi="Narkisim" w:cs="Narkisim"/>
          <w:sz w:val="28"/>
          <w:szCs w:val="28"/>
          <w:rtl/>
        </w:rPr>
        <w:t>ראשית יצויין, כאמור, כי התובע היה נוכח בדיון. לא נרשמה בפרוטוקול הדיון כל הערה על כך שזה יצא מהאולם, וגם אם יצא, ברי כי היה נוכח בשלב ההסכמה.</w:t>
      </w:r>
    </w:p>
    <w:p w:rsidR="00C57BE6" w:rsidRDefault="00C57BE6" w:rsidP="00C57BE6">
      <w:pPr>
        <w:ind w:left="1077" w:right="851"/>
        <w:jc w:val="both"/>
        <w:rPr>
          <w:rFonts w:ascii="Narkisim" w:hAnsi="Narkisim" w:cs="Narkisim"/>
          <w:sz w:val="28"/>
          <w:szCs w:val="28"/>
          <w:rtl/>
        </w:rPr>
      </w:pPr>
      <w:r>
        <w:rPr>
          <w:rFonts w:ascii="Narkisim" w:hAnsi="Narkisim" w:cs="Narkisim"/>
          <w:sz w:val="28"/>
          <w:szCs w:val="28"/>
          <w:rtl/>
        </w:rPr>
        <w:t>טרם מתן תוקף של החלטה לכל הסדר אליו מגיעים מתדיינים, מוודא מותב זה היטב כי כל הצדדים נוכחים ומבינים היטב את מהותו ותוכנו של ההסדר וכך היה גם במקרה דנן.</w:t>
      </w:r>
    </w:p>
    <w:p w:rsidR="00C57BE6" w:rsidRDefault="00C57BE6" w:rsidP="00C57BE6">
      <w:pPr>
        <w:ind w:left="1077" w:right="851"/>
        <w:jc w:val="both"/>
        <w:rPr>
          <w:rFonts w:ascii="Narkisim" w:hAnsi="Narkisim" w:cs="Narkisim"/>
          <w:sz w:val="28"/>
          <w:szCs w:val="28"/>
          <w:rtl/>
        </w:rPr>
      </w:pPr>
      <w:r>
        <w:rPr>
          <w:rFonts w:ascii="Narkisim" w:hAnsi="Narkisim" w:cs="Narkisim"/>
          <w:sz w:val="28"/>
          <w:szCs w:val="28"/>
          <w:rtl/>
        </w:rPr>
        <w:t>16.</w:t>
      </w:r>
      <w:r>
        <w:rPr>
          <w:rFonts w:ascii="Narkisim" w:hAnsi="Narkisim" w:cs="Narkisim"/>
          <w:sz w:val="28"/>
          <w:szCs w:val="28"/>
          <w:rtl/>
        </w:rPr>
        <w:tab/>
        <w:t>למעלה מהדרוש יצויין כי התובע היה מיוצג.</w:t>
      </w:r>
    </w:p>
    <w:p w:rsidR="00C57BE6" w:rsidRDefault="00C57BE6" w:rsidP="00C57BE6">
      <w:pPr>
        <w:ind w:left="1077" w:right="851"/>
        <w:jc w:val="both"/>
        <w:rPr>
          <w:rFonts w:ascii="Narkisim" w:hAnsi="Narkisim" w:cs="Narkisim"/>
          <w:sz w:val="28"/>
          <w:szCs w:val="28"/>
          <w:rtl/>
        </w:rPr>
      </w:pPr>
      <w:r>
        <w:rPr>
          <w:rFonts w:ascii="Narkisim" w:hAnsi="Narkisim" w:cs="Narkisim"/>
          <w:sz w:val="28"/>
          <w:szCs w:val="28"/>
          <w:rtl/>
        </w:rPr>
        <w:t>אין בידי לקבל הטענה כי הייצוג כלל ניהול התביעה בלבד. ברי כי ניהול תביעה כולל בחובו גם הגעה להסדר פשרה, שאם לא כן בכל המקרים בהם מושג הסכם פשרה, יהיה על עורך הדין להציג יפוי כח חדש. במאמר מוסגר יצויין כי כפי הנטען ע"י הנתבעים - גם נוסחו של יפוי הכח עליו הוחתם התובע מלמד את המובן מאליו - כי הייצוג כולל אפשרות להגיע להסכם פשרה.</w:t>
      </w:r>
    </w:p>
    <w:p w:rsidR="00C57BE6" w:rsidRDefault="00C57BE6" w:rsidP="00C57BE6">
      <w:pPr>
        <w:ind w:left="1077" w:right="851"/>
        <w:jc w:val="both"/>
        <w:rPr>
          <w:rFonts w:ascii="Narkisim" w:hAnsi="Narkisim" w:cs="Narkisim"/>
          <w:sz w:val="28"/>
          <w:szCs w:val="28"/>
          <w:rtl/>
        </w:rPr>
      </w:pPr>
      <w:r>
        <w:rPr>
          <w:rFonts w:ascii="Narkisim" w:hAnsi="Narkisim" w:cs="Narkisim"/>
          <w:sz w:val="28"/>
          <w:szCs w:val="28"/>
          <w:rtl/>
        </w:rPr>
        <w:t>ויודגש - החלטה זו ניתנת לא מהטעם שיכול היה ב"כ התובע להגיע בשמו להסדר פשרה כי אם, כאמור, בעיקר מהטעם שהתובע היה נוכח והסכים, באופן אישי, לפשרה האמורה.</w:t>
      </w:r>
    </w:p>
    <w:p w:rsidR="00C57BE6" w:rsidRDefault="00C57BE6" w:rsidP="00C57BE6">
      <w:pPr>
        <w:ind w:left="1077" w:right="851"/>
        <w:jc w:val="both"/>
        <w:rPr>
          <w:rFonts w:ascii="Narkisim" w:hAnsi="Narkisim" w:cs="Narkisim"/>
          <w:sz w:val="28"/>
          <w:szCs w:val="28"/>
          <w:rtl/>
        </w:rPr>
      </w:pPr>
      <w:r>
        <w:rPr>
          <w:rFonts w:ascii="Narkisim" w:hAnsi="Narkisim" w:cs="Narkisim"/>
          <w:sz w:val="28"/>
          <w:szCs w:val="28"/>
          <w:rtl/>
        </w:rPr>
        <w:t>17.</w:t>
      </w:r>
      <w:r>
        <w:rPr>
          <w:rFonts w:ascii="Narkisim" w:hAnsi="Narkisim" w:cs="Narkisim"/>
          <w:sz w:val="28"/>
          <w:szCs w:val="28"/>
          <w:rtl/>
        </w:rPr>
        <w:tab/>
        <w:t>זאת ועוד, כאמור, זמן קצר לאחר אישור ההסכם הוגשה ע"י ב"כ התובע בקשה לתיקון פרוטוקול, ע"מ שישקף את ההסכמה שהיתה בדיון, לפיה עד מכירת המשק יהיה התובע רשאי להמשיך להתגורר במקום. גם מבקשה זו אני למד כי התובע ידע היטב את תוכנה של הפשרה ואף ביקש להבהיר אותה בקשר עם זכות המגורים שלו עד למכירה...."</w:t>
      </w:r>
    </w:p>
    <w:p w:rsidR="00C57BE6" w:rsidRDefault="00C57BE6" w:rsidP="00C57BE6">
      <w:pPr>
        <w:ind w:left="720"/>
        <w:jc w:val="both"/>
        <w:rPr>
          <w:rFonts w:ascii="Narkisim" w:hAnsi="Narkisim" w:cs="Narkisim"/>
          <w:sz w:val="28"/>
          <w:szCs w:val="28"/>
          <w:rtl/>
        </w:rPr>
      </w:pPr>
    </w:p>
    <w:p w:rsidR="00C57BE6" w:rsidRDefault="00C57BE6" w:rsidP="00C57BE6">
      <w:pPr>
        <w:spacing w:line="360" w:lineRule="auto"/>
        <w:jc w:val="both"/>
        <w:rPr>
          <w:rFonts w:ascii="Narkisim" w:hAnsi="Narkisim" w:cs="Narkisim"/>
          <w:b/>
          <w:bCs/>
          <w:sz w:val="28"/>
          <w:szCs w:val="28"/>
          <w:rtl/>
        </w:rPr>
      </w:pPr>
      <w:r>
        <w:rPr>
          <w:rFonts w:ascii="Narkisim" w:hAnsi="Narkisim" w:cs="Narkisim"/>
          <w:b/>
          <w:bCs/>
          <w:sz w:val="28"/>
          <w:szCs w:val="28"/>
          <w:rtl/>
        </w:rPr>
        <w:t>על ההחלטה הנזכרת לא הוגש כל  הליך ערעורי.</w:t>
      </w:r>
    </w:p>
    <w:p w:rsidR="00C57BE6" w:rsidRDefault="00C57BE6" w:rsidP="00C57BE6">
      <w:pPr>
        <w:pStyle w:val="a3"/>
        <w:spacing w:line="360" w:lineRule="auto"/>
        <w:ind w:left="360"/>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Pr>
      </w:pPr>
      <w:r>
        <w:rPr>
          <w:rFonts w:ascii="Narkisim" w:hAnsi="Narkisim" w:cs="Narkisim"/>
          <w:sz w:val="28"/>
          <w:szCs w:val="28"/>
          <w:rtl/>
        </w:rPr>
        <w:t>7.</w:t>
      </w:r>
      <w:r>
        <w:rPr>
          <w:rFonts w:ascii="Narkisim" w:hAnsi="Narkisim" w:cs="Narkisim"/>
          <w:sz w:val="28"/>
          <w:szCs w:val="28"/>
          <w:rtl/>
        </w:rPr>
        <w:tab/>
        <w:t xml:space="preserve">לאחר כשנה, ביום 11.11.2017, שב המערער והעלה טענות בדבר בטלות ההסכם. טענותיו נדחו בהחלטה מיום 6.2.2018. ערעור על החלטה זו נדחה אף הוא תוך חיוב המערער בהוצאות משפט (רמ"ש 16484-03-18). </w:t>
      </w: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 xml:space="preserve">בחלוף שנה נוספת, באוקטובר 2018, הגיש המערער את התביעה לביטול הסכם הפשרה, היא התביעה נושא הערעור דנן. בתביעתו שב המערער וטען כי יש לבטל את </w:t>
      </w:r>
      <w:r>
        <w:rPr>
          <w:rFonts w:ascii="Narkisim" w:hAnsi="Narkisim" w:cs="Narkisim"/>
          <w:sz w:val="28"/>
          <w:szCs w:val="28"/>
          <w:rtl/>
        </w:rPr>
        <w:lastRenderedPageBreak/>
        <w:t xml:space="preserve">הסכם הפשרה שלא נחתם מתוך הסכמתו ורצונו, כי לא היה נוכח עת התגבש הסכם הפשרה וכי בא כוחו לא היה מורשה להגיע להסכם שכזה המקפח את זכויותיו ללא הסכמתו.  </w:t>
      </w:r>
    </w:p>
    <w:p w:rsidR="00C57BE6" w:rsidRDefault="00C57BE6" w:rsidP="00C57BE6">
      <w:pPr>
        <w:spacing w:line="360" w:lineRule="auto"/>
        <w:jc w:val="both"/>
        <w:rPr>
          <w:rFonts w:ascii="Narkisim" w:hAnsi="Narkisim" w:cs="Narkisim"/>
          <w:sz w:val="28"/>
          <w:szCs w:val="28"/>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8.</w:t>
      </w:r>
      <w:r>
        <w:rPr>
          <w:rFonts w:ascii="Narkisim" w:hAnsi="Narkisim" w:cs="Narkisim"/>
          <w:sz w:val="28"/>
          <w:szCs w:val="28"/>
          <w:rtl/>
        </w:rPr>
        <w:tab/>
        <w:t>המשיבים טענו, מאידך, כי מדובר בניסיון נוסף של המערער לאיין פסיקה ברורה של בית המשפט, לאחר שהסוגיות הנדונות נדונו מספר פעמים בערכאות שונות והובהר כי הסכם הפשרה נעשה בנוכחותו ובהסכמתו;  אף לגופם של דברים אין למערער כל זכויות במשק כבן ממשיך או יורש כך שהסכם הפשרה אינו מקפח אותו אלא אף משפר את מצבו לאין ערוך וזאת מתוך התחשבות האחים בו.</w:t>
      </w: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המשיבים הסבו שימת הלב לכך שהמערער ויתר על חקירת הצדדים במסגרת הדיון מיום 24.11.2016 וכי  נמנע מלהעיד את עו"ד שר שאישר את נוכחותו של המערער בדיון.</w:t>
      </w: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המשיבים שבו וטענו כי המערער פולש למשק תוך גרימת נזק למשק ולכלל האחים אשר אינם יכולים להנות מפירותיו כבר שנים, שעה שהמערער עצמו מתגורר בו ללא תשלום דמי שימוש ותוך צבירת חובות.</w:t>
      </w:r>
    </w:p>
    <w:p w:rsidR="00C57BE6" w:rsidRDefault="00C57BE6" w:rsidP="00C57BE6">
      <w:pPr>
        <w:spacing w:line="360" w:lineRule="auto"/>
        <w:jc w:val="both"/>
        <w:rPr>
          <w:rFonts w:ascii="Miriam" w:hAnsi="Miriam" w:cs="Miriam"/>
          <w:rtl/>
        </w:rPr>
      </w:pPr>
    </w:p>
    <w:p w:rsidR="00C57BE6" w:rsidRDefault="00C57BE6" w:rsidP="00C57BE6">
      <w:pPr>
        <w:spacing w:line="360" w:lineRule="auto"/>
        <w:jc w:val="both"/>
        <w:rPr>
          <w:rFonts w:ascii="Miriam" w:hAnsi="Miriam" w:cs="Miriam"/>
          <w:rtl/>
        </w:rPr>
      </w:pPr>
      <w:r>
        <w:rPr>
          <w:rFonts w:ascii="Miriam" w:hAnsi="Miriam" w:cs="Miriam"/>
          <w:rtl/>
        </w:rPr>
        <w:t xml:space="preserve">פסק דינו של בית משפט קמא </w:t>
      </w:r>
    </w:p>
    <w:p w:rsidR="00C57BE6" w:rsidRDefault="00C57BE6" w:rsidP="00C57BE6">
      <w:pPr>
        <w:spacing w:line="360" w:lineRule="auto"/>
        <w:jc w:val="both"/>
        <w:rPr>
          <w:rFonts w:ascii="Miriam" w:hAnsi="Miriam" w:cs="Miriam"/>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9.</w:t>
      </w:r>
      <w:r>
        <w:rPr>
          <w:rFonts w:ascii="Narkisim" w:hAnsi="Narkisim" w:cs="Narkisim"/>
          <w:sz w:val="28"/>
          <w:szCs w:val="28"/>
          <w:rtl/>
        </w:rPr>
        <w:tab/>
        <w:t>בית המשפט קמא דחה את בקשת המערער לביטול ההחלטה המאשרת את הסכם הפשרה. בית המשפט בחן את המסגרת הנורמטיבית לביטול החלטה שיפוטית שניתנה בהסכמת הצדדים, בטענה לפגם בכריתה, תוך מתן משקל להלכה לפיה לא בנקל יעניק בית המשפט סעד לביטול הסכם פשרה שקיבל תוקף של החלטה.</w:t>
      </w:r>
    </w:p>
    <w:p w:rsidR="00C57BE6" w:rsidRDefault="00C57BE6" w:rsidP="00C57BE6">
      <w:pPr>
        <w:pStyle w:val="a3"/>
        <w:spacing w:line="360" w:lineRule="auto"/>
        <w:ind w:left="360"/>
        <w:jc w:val="both"/>
        <w:rPr>
          <w:rFonts w:ascii="Narkisim" w:hAnsi="Narkisim" w:cs="Narkisim"/>
          <w:sz w:val="28"/>
          <w:szCs w:val="28"/>
          <w:rtl/>
        </w:rPr>
      </w:pPr>
      <w:r>
        <w:rPr>
          <w:rFonts w:ascii="Narkisim" w:hAnsi="Narkisim" w:cs="Narkisim"/>
          <w:sz w:val="28"/>
          <w:szCs w:val="28"/>
          <w:rtl/>
        </w:rPr>
        <w:t xml:space="preserve"> </w:t>
      </w:r>
    </w:p>
    <w:p w:rsidR="00C57BE6" w:rsidRDefault="00C57BE6" w:rsidP="00C57BE6">
      <w:pPr>
        <w:spacing w:line="360" w:lineRule="auto"/>
        <w:jc w:val="both"/>
        <w:rPr>
          <w:rFonts w:ascii="Narkisim" w:hAnsi="Narkisim" w:cs="Narkisim"/>
          <w:sz w:val="28"/>
          <w:szCs w:val="28"/>
        </w:rPr>
      </w:pPr>
      <w:r>
        <w:rPr>
          <w:rFonts w:ascii="Narkisim" w:hAnsi="Narkisim" w:cs="Narkisim"/>
          <w:sz w:val="28"/>
          <w:szCs w:val="28"/>
          <w:rtl/>
        </w:rPr>
        <w:t>10.</w:t>
      </w:r>
      <w:r>
        <w:rPr>
          <w:rFonts w:ascii="Narkisim" w:hAnsi="Narkisim" w:cs="Narkisim"/>
          <w:sz w:val="28"/>
          <w:szCs w:val="28"/>
          <w:rtl/>
        </w:rPr>
        <w:tab/>
        <w:t xml:space="preserve">בית המשפט בחן את כלל הראיות שהונחו לפניו ומצא, כי העולה מהם הוא שהמערער היה מודע להסכם הפשרה ותוכנו והסכים לו.   בית המשפט הוסיף ובחן את כלל העדויות שהונחו לפניו הנוגעות לנוכחות המערער בדיון מיום 19.7.2016 בו הושגו ההסכמות, ומצא  על פי הראיות שהונחו לפניו – כי  המערער הוצא מהאולם, אך לאחר מכן, בשלב גיבוש ההסכמות הוא נקרא פנימה ונכח גם בעת מתן ההחלטה (ראו עדויות המשיבות 1 ו -5) נוכח האמור קבע בית המשפט כי : </w:t>
      </w:r>
    </w:p>
    <w:p w:rsidR="00C57BE6" w:rsidRDefault="00C57BE6" w:rsidP="00C57BE6">
      <w:pPr>
        <w:ind w:left="1077" w:right="993"/>
        <w:jc w:val="both"/>
        <w:rPr>
          <w:rFonts w:ascii="Narkisim" w:hAnsi="Narkisim" w:cs="Narkisim"/>
          <w:sz w:val="28"/>
          <w:szCs w:val="28"/>
          <w:rtl/>
        </w:rPr>
      </w:pPr>
      <w:r>
        <w:rPr>
          <w:rFonts w:ascii="Narkisim" w:hAnsi="Narkisim" w:cs="Narkisim"/>
          <w:sz w:val="28"/>
          <w:szCs w:val="28"/>
          <w:rtl/>
        </w:rPr>
        <w:lastRenderedPageBreak/>
        <w:t>"התרשמתי כי גרסתו של התובע לעניין העדר נוכחותו ככלל בדיון, וגילויו המאוחר בדיעבד אודות הסכם הפשרה לוקה בחסר ולמצער אינה מתיישבת עם המכלול הראייתי, כפי שהונח לפניי; כך גם אין בטענה זו בדבר העדרו מאולם ביהמ"ש לכאורה, כדי להסביר את הפעולה המשפטית הראשונה שבה נקט, בדבר עתירה לעיבויו של ההסכם על דרך הישארותו במשק,  כאמור לעיל. יתרה מכך, התובע בחר שלא לזמן לעדות את עוה"ד שר אשר ייצג אותו במועדים הרלבנטיים לטענותיו ולא מצאתי כמספקים את טעמיו לכך בדבר "התבצרותו של עוה"ד שר" בעמדתו כי התובע ידע אודות ההסכם... דומה, כי "התפקחותו" של התובע התרחשה רק זמן מה לאחר מכן, עת הגיש הגיש בקשה לביטול ההסכם, תוך החלפת ייצוג; בזהירות המתחייבת ייתכן וגרסתו מתיישבת יותר עם טענות כגון טעות בכדאיות העסקה; ומכל מקום, לא הוכח על ידו ואין בידי לקבל טענה זו של התובע הנוגעת לפגמים ברצון."</w:t>
      </w:r>
    </w:p>
    <w:p w:rsidR="00C57BE6" w:rsidRDefault="00C57BE6" w:rsidP="00C57BE6">
      <w:pPr>
        <w:spacing w:line="360" w:lineRule="auto"/>
        <w:jc w:val="both"/>
        <w:rPr>
          <w:rFonts w:ascii="Narkisim" w:hAnsi="Narkisim" w:cs="Narkisim"/>
          <w:b/>
          <w:bCs/>
          <w:sz w:val="28"/>
          <w:szCs w:val="28"/>
          <w:u w:val="single"/>
          <w:rtl/>
        </w:rPr>
      </w:pPr>
      <w:r>
        <w:rPr>
          <w:rFonts w:ascii="Narkisim" w:hAnsi="Narkisim" w:cs="Narkisim"/>
          <w:b/>
          <w:bCs/>
          <w:sz w:val="28"/>
          <w:szCs w:val="28"/>
          <w:u w:val="single"/>
          <w:rtl/>
        </w:rPr>
        <w:t xml:space="preserve"> </w:t>
      </w: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11.</w:t>
      </w:r>
      <w:r>
        <w:rPr>
          <w:rFonts w:ascii="Narkisim" w:hAnsi="Narkisim" w:cs="Narkisim"/>
          <w:sz w:val="28"/>
          <w:szCs w:val="28"/>
          <w:rtl/>
        </w:rPr>
        <w:tab/>
        <w:t xml:space="preserve">בית המשפט הוסיף ובחן את טענות המערער לחריגה מהרשאה. בית המשפט דחה את הטענה כי ב"כ המערער לא היה מורשה להגיע להסכמות בהליך. בית המשפט ציין במסגרת זו כי המערער לא צרף את עוה"ד כצד להליך ואף לא הביאו כעד לצורך חקירתו. הימנעות זו של מי שאין מחלוקת כי היה נוכח בעת גיבוש ואשרור הסכם הפשרה היה בה כדי לשפוך אור על נסיבות שקלול וכריתת ההסכם. לפיכך, ומאחר שהנטל מוטל על המערער הרי שהימנעות זו פועלת לחובתו. בית משפט קמא גם בחן את עדותו של המערער לעניין זה וקבע כי עדותו הייתה "מתחמקת ובהעדר טעם המניח את הדעת באופן החותר ברורות תחת מהימנותו" (סעיף 110 לפסק הדין). עוד נתן בית המשפט דעתו לכך שהמערער בחר שלא לנקוט בהליך משפטי כנגד בא כוחו, עו"ד שר. </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12.</w:t>
      </w:r>
      <w:r>
        <w:rPr>
          <w:rFonts w:ascii="Narkisim" w:hAnsi="Narkisim" w:cs="Narkisim"/>
          <w:sz w:val="28"/>
          <w:szCs w:val="28"/>
          <w:rtl/>
        </w:rPr>
        <w:tab/>
        <w:t>בדומה נדחתה טענת המערער בדבר חוקיות הסכם הפשרה אל מול הסכם המשבצת. בית המשפט קבע כי התובע לא עמד בנטל להוכיח טענתו בדבר אי חוקיות הסכם הפשרה, למצער על דרך הבאת עמדותיהם הרשמיות של הרשות המוסמכת והאגודה השיתופית של מושב פורת בהתייחס לנוהל העברת הזכויות במשק, וכי הסוגיה אינה נתונה כלל  להכרעת בית המשפט.</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 xml:space="preserve">מכלל האמור מצא בית המשפט לדחות את התביעה לביטול הסכם הפשרה. </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Miriam" w:hAnsi="Miriam" w:cs="Miriam"/>
          <w:sz w:val="22"/>
          <w:szCs w:val="22"/>
          <w:rtl/>
        </w:rPr>
      </w:pPr>
      <w:r>
        <w:rPr>
          <w:rFonts w:ascii="Miriam" w:hAnsi="Miriam" w:cs="Miriam"/>
          <w:rtl/>
        </w:rPr>
        <w:lastRenderedPageBreak/>
        <w:t>תמצית טענות המערער</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13.</w:t>
      </w:r>
      <w:r>
        <w:rPr>
          <w:rFonts w:ascii="Narkisim" w:hAnsi="Narkisim" w:cs="Narkisim"/>
          <w:sz w:val="28"/>
          <w:szCs w:val="28"/>
          <w:rtl/>
        </w:rPr>
        <w:tab/>
        <w:t>המערער שב על כלל טענותיו  בבית משפט קמא. כך טען כי הוא בן ממשיך וכי יש לו זכויות מגורים בנחלה. וכן טען  נגד "נסיבות "כריתתו" של ההסכם-כביכול במסגרת ההליך השנוי במחלוקת" (כך כהגדרתו); כי לא הסמיך את פרקליטו דאז להסכים לכל סעד, לרבות מכר הנחלה וכי ההסכמה אליה הגיע בא כוחו מנוגדת ל"גוף השליחות שהקנה התובע לשלוח".</w:t>
      </w: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 xml:space="preserve">עוד טען המערער נגד קביעותיו של בית המשפט הנוגעות לנוכחותו במועד הדיון. המערער הפנה לעדויות של אלו מהמשיבים המסכימים כי המערער הוצא מהאולם בשל התנהגותו. לטעמו הוא לא שב לאולם בעת גיבוש ההסכמה ומתן תוקף של החלטה להסכמה זו, בניגוד לעדויות בעלי דין  אחרים. המערער ביקש לבחון עדות כל אחד מהמשיבים וטען כי הם הסכימו עמו עובדתית בעדויותיהם. </w:t>
      </w:r>
    </w:p>
    <w:p w:rsidR="00C57BE6" w:rsidRDefault="00C57BE6" w:rsidP="00C57BE6">
      <w:pPr>
        <w:spacing w:line="360" w:lineRule="auto"/>
        <w:jc w:val="both"/>
        <w:rPr>
          <w:rFonts w:ascii="Miriam" w:hAnsi="Miriam" w:cs="Miriam"/>
          <w:rtl/>
        </w:rPr>
      </w:pPr>
    </w:p>
    <w:p w:rsidR="00C57BE6" w:rsidRDefault="00C57BE6" w:rsidP="00C57BE6">
      <w:pPr>
        <w:spacing w:line="360" w:lineRule="auto"/>
        <w:jc w:val="both"/>
        <w:rPr>
          <w:rFonts w:ascii="Miriam" w:hAnsi="Miriam" w:cs="Miriam"/>
          <w:rtl/>
        </w:rPr>
      </w:pPr>
      <w:r>
        <w:rPr>
          <w:rFonts w:ascii="Miriam" w:hAnsi="Miriam" w:cs="Miriam"/>
          <w:rtl/>
        </w:rPr>
        <w:t xml:space="preserve">תמצית טענות המשיבים </w:t>
      </w:r>
    </w:p>
    <w:p w:rsidR="00C57BE6" w:rsidRDefault="00C57BE6" w:rsidP="00C57BE6">
      <w:pPr>
        <w:spacing w:line="360" w:lineRule="auto"/>
        <w:jc w:val="both"/>
        <w:rPr>
          <w:rFonts w:ascii="Miriam" w:hAnsi="Miriam" w:cs="Miriam"/>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14.</w:t>
      </w:r>
      <w:r>
        <w:rPr>
          <w:rFonts w:ascii="Narkisim" w:hAnsi="Narkisim" w:cs="Narkisim"/>
          <w:sz w:val="28"/>
          <w:szCs w:val="28"/>
          <w:rtl/>
        </w:rPr>
        <w:tab/>
        <w:t xml:space="preserve">המשיבים טענו כי יש לדחות את הערעור. אף הם שבו על כלל טיעוניהם כפי שהועלו לפני בית משפט קמא. בתמצית טענו, כי מאז הסכם הפשרה חלפו כשבע שנים בהן המערער עושה כל שביכולתו לעכב את  מימושו, תוך שהוא מתגורר בנכס וצובר חובות. הסכמת המשיבים כי המערער יגור במשק הייתה אך ורק מכוח הסכם הפשרה, הסכם לו מבקש המערער להתכחש, הסכם שבלעדיו עליו לפנות ממילא את המשק, בהעדר כל זכויות בו. </w:t>
      </w: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המנוח היה בעל כלל הזכויות במשק, הוא לא השאיר אחריו בן ממשיך, ואף נישל את המערער מצוואתו אחר שהגיש כנגדו תלונות במשטרה.</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15.</w:t>
      </w:r>
      <w:r>
        <w:rPr>
          <w:rFonts w:ascii="Narkisim" w:hAnsi="Narkisim" w:cs="Narkisim"/>
          <w:sz w:val="28"/>
          <w:szCs w:val="28"/>
          <w:rtl/>
        </w:rPr>
        <w:tab/>
        <w:t xml:space="preserve">המשיבים מפנים לשלל הליכים שנוהלו בין הצדדים, לוויתור המערער על חקירות והימנעותו מלחקור את עו"ד שר. עוד הסבו המשיבים שימת הלב לכך שהסכם הפשרה משרת את המערער ולא מקפחו שכן מצד הדין אין לו כל זכויות בן ממשיך במשק, והמנוח הדיר אותו כליל מצוואתו, כך שגם על פי צוואה אין הוא זכאי לדבר. המשיבים הדגישו, כי זה היה הרקע להסכמה העומדת בבסיס הסכם הפשרה, המקנה </w:t>
      </w:r>
      <w:r>
        <w:rPr>
          <w:rFonts w:ascii="Narkisim" w:hAnsi="Narkisim" w:cs="Narkisim"/>
          <w:sz w:val="28"/>
          <w:szCs w:val="28"/>
          <w:rtl/>
        </w:rPr>
        <w:lastRenderedPageBreak/>
        <w:t>לכל אחד מילדי המנוח זכות לרכוש מאחיו את הזכויות במשק כולו. עוד הפנו המשיבים לכך שגרסתו של המערער נמצאה לא אמינה.</w:t>
      </w:r>
    </w:p>
    <w:p w:rsidR="00C57BE6" w:rsidRDefault="00C57BE6" w:rsidP="00C57BE6">
      <w:pPr>
        <w:spacing w:line="360" w:lineRule="auto"/>
        <w:ind w:left="2880" w:firstLine="720"/>
        <w:jc w:val="both"/>
        <w:rPr>
          <w:rFonts w:ascii="Narkisim" w:hAnsi="Narkisim" w:cs="Narkisim"/>
          <w:sz w:val="28"/>
          <w:szCs w:val="28"/>
          <w:rtl/>
        </w:rPr>
      </w:pPr>
      <w:r>
        <w:rPr>
          <w:rFonts w:ascii="Narkisim" w:hAnsi="Narkisim" w:cs="Narkisim"/>
          <w:sz w:val="28"/>
          <w:szCs w:val="28"/>
          <w:rtl/>
        </w:rPr>
        <w:t>******</w:t>
      </w:r>
    </w:p>
    <w:p w:rsidR="00C57BE6" w:rsidRDefault="00C57BE6" w:rsidP="00C57BE6">
      <w:pPr>
        <w:spacing w:line="360" w:lineRule="auto"/>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16.</w:t>
      </w:r>
      <w:r>
        <w:rPr>
          <w:rFonts w:ascii="Narkisim" w:hAnsi="Narkisim" w:cs="Narkisim"/>
          <w:sz w:val="28"/>
          <w:szCs w:val="28"/>
          <w:rtl/>
        </w:rPr>
        <w:tab/>
        <w:t xml:space="preserve">הארכנו בפירוט הממצאים והמסקנות בפסק דינו המפורט והמנומק של בית משפט קמא, כיוון שאנו סבורים כי יש לדחות את הערעור מכוח הוראת סע' 148(ב) </w:t>
      </w:r>
      <w:r>
        <w:rPr>
          <w:rFonts w:ascii="Miriam" w:hAnsi="Miriam" w:cs="Miriam"/>
          <w:rtl/>
        </w:rPr>
        <w:t>לתקנות סדר הדין האזרחי,</w:t>
      </w:r>
      <w:r>
        <w:rPr>
          <w:rFonts w:ascii="Narkisim" w:hAnsi="Narkisim" w:cs="Narkisim"/>
          <w:sz w:val="28"/>
          <w:szCs w:val="28"/>
          <w:rtl/>
        </w:rPr>
        <w:t xml:space="preserve"> התשע"ט – 2018, וזאת אחר שמצאנו כי אין מקום לדחות את הממצאים העובדתיים שנקבעו בפסק הדין, כי הממצאים שנקבעו בו תומכים במסקנה המשפטית, וכי אין במסקנותיו של בית משפט קמא כל טעות שבחוק.  </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17.</w:t>
      </w:r>
      <w:r>
        <w:rPr>
          <w:rFonts w:ascii="Narkisim" w:hAnsi="Narkisim" w:cs="Narkisim"/>
          <w:sz w:val="28"/>
          <w:szCs w:val="28"/>
          <w:rtl/>
        </w:rPr>
        <w:tab/>
        <w:t xml:space="preserve">בנדון לא מצאנו מקום להתערב בקביעותיו העובדתיות של בית משפט קמא. כידוע, הלכה היא כי, ככלל, אין ערכאת הערעור נוטה להתערב בקביעות עובדות ומהימנות ע"א 78/84 </w:t>
      </w:r>
      <w:r>
        <w:rPr>
          <w:rFonts w:ascii="Miriam" w:hAnsi="Miriam" w:cs="Miriam"/>
          <w:rtl/>
        </w:rPr>
        <w:t>עיזבון המנוח חג' קאסם אחמד סווילם נ' אלג'ילאני</w:t>
      </w:r>
      <w:r>
        <w:rPr>
          <w:rFonts w:ascii="Narkisim" w:hAnsi="Narkisim" w:cs="Narkisim"/>
          <w:sz w:val="28"/>
          <w:szCs w:val="28"/>
          <w:rtl/>
        </w:rPr>
        <w:t xml:space="preserve"> (1988); בע"א 3601/96 </w:t>
      </w:r>
      <w:r>
        <w:rPr>
          <w:rFonts w:ascii="Miriam" w:hAnsi="Miriam" w:cs="Miriam"/>
          <w:rtl/>
        </w:rPr>
        <w:t>בראשי נ' עיזבון המנוח בראשי ז"ל</w:t>
      </w:r>
      <w:r>
        <w:rPr>
          <w:rFonts w:ascii="Narkisim" w:hAnsi="Narkisim" w:cs="Narkisim"/>
          <w:sz w:val="28"/>
          <w:szCs w:val="28"/>
          <w:rtl/>
        </w:rPr>
        <w:t xml:space="preserve">, (1998)). בייחוד תימנע ערכאת הערעור מהתערבות כזו כאשר בית-משפט קמא "לא פטר עצמו בדברים כלליים בניתוח העובדות אלא צלל למעמקי הראיות, בחן ובדק את הדברים ביסודיות, עשה ככל האפשר לבור את האמת המזדקרת ממכלול הדברים ולתת ביטוי לחקירתו – דרישתו ובדיקתו מעל דפי פסק הדין...(ע"א 640/85 </w:t>
      </w:r>
      <w:r>
        <w:rPr>
          <w:rFonts w:ascii="Miriam" w:hAnsi="Miriam" w:cs="Miriam"/>
          <w:rtl/>
        </w:rPr>
        <w:t>קופר ואח' נ' איגוד המוסכים בישראל ואח',</w:t>
      </w:r>
      <w:r>
        <w:rPr>
          <w:rFonts w:ascii="Narkisim" w:hAnsi="Narkisim" w:cs="Narkisim"/>
          <w:sz w:val="28"/>
          <w:szCs w:val="28"/>
          <w:rtl/>
        </w:rPr>
        <w:t xml:space="preserve"> (1990).</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18.</w:t>
      </w:r>
      <w:r>
        <w:rPr>
          <w:rFonts w:ascii="Narkisim" w:hAnsi="Narkisim" w:cs="Narkisim"/>
          <w:sz w:val="28"/>
          <w:szCs w:val="28"/>
          <w:rtl/>
        </w:rPr>
        <w:tab/>
        <w:t xml:space="preserve">מצאנו כי בית משפט קמא, בחן ובדק באופן מדוקדק את כלל הראיות שהונחו לפניו, התרשם בצורה בלתי אמצעית ממהימנותם של העדים וקבע בהמשך לכך ממצאים עובדתיים לעניין נוכחתו של המערער בעת גיבוש הסכם הפשרה והבנתו את המוסכם. ממצאים אלו הביאו את בית משפט קמא לכדי כלל מסקנה, כי המערער לא הרים את הנטל להוכיח כי נפל פגם בכריתת הסכם הפשרה. </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19.</w:t>
      </w:r>
      <w:r>
        <w:rPr>
          <w:rFonts w:ascii="Narkisim" w:hAnsi="Narkisim" w:cs="Narkisim"/>
          <w:sz w:val="28"/>
          <w:szCs w:val="28"/>
          <w:rtl/>
        </w:rPr>
        <w:tab/>
        <w:t xml:space="preserve">כאמור, על בסיס העדויות שהונחו לפני בית המשפט, כמו גם הימנעות המערער מהבאת עדויות רלבנטיות, קבע בית המשפט כי יש לדחות את טענות המערער שלא היה נוכח בעת גיבוש ההסכמה או לכל הפחות באשרורהּ. מעבר לכך, דחה בית המשפט את טענות המערער כי בא כוחו לא היה מוסמך להגיע להסכם </w:t>
      </w:r>
      <w:r>
        <w:rPr>
          <w:rFonts w:ascii="Narkisim" w:hAnsi="Narkisim" w:cs="Narkisim"/>
          <w:sz w:val="28"/>
          <w:szCs w:val="28"/>
          <w:rtl/>
        </w:rPr>
        <w:lastRenderedPageBreak/>
        <w:t xml:space="preserve">פשרה. גם קביעה זו הורתה בבחינת  כלל הראיות ובכללן עצם הימנעותו של  המערער מצירוף עו"ד שר כצד להליך, ואי זימונו כעד, כמו גם אי נקיטת כל הליך משפטי כזה או אחר למולו.  </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20.</w:t>
      </w:r>
      <w:r>
        <w:rPr>
          <w:rFonts w:ascii="Narkisim" w:hAnsi="Narkisim" w:cs="Narkisim"/>
          <w:sz w:val="28"/>
          <w:szCs w:val="28"/>
          <w:rtl/>
        </w:rPr>
        <w:tab/>
        <w:t xml:space="preserve">לא זו אף זו, הבקשות וההליכים שהוגשו בסמוך לדיון בו הגיעו הצדדים להסכם הפשרה יש בהן ללמד כי למערער לא הייתה כל טרוניה כנגד ההסכם גופו ואופן גיבושו, כך הבקשה לתיקון פרוטוקול שהוגשה בסמוך לאחר הדיון ובה לא נזכר מאום מהטענות שהועלו בהליך זה. בדומה אי הגשת ערעור על החלטת בית המשפט מיום 19.7.2016, או לכל הפחות על ההחלטה מיום 1.12.2016 יש בהם ללמד, כפי מסקנתו של בית משפט קמא, כי לא נפל כל פגם בהסכם הפשרה. </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21.</w:t>
      </w:r>
      <w:r>
        <w:rPr>
          <w:rFonts w:ascii="Narkisim" w:hAnsi="Narkisim" w:cs="Narkisim"/>
          <w:sz w:val="28"/>
          <w:szCs w:val="28"/>
          <w:rtl/>
        </w:rPr>
        <w:tab/>
        <w:t xml:space="preserve"> יתר על כן, בנדון נמצא כי אכן המערער חתם לבא כוחו, עו"ד שר, על יפוי הכולל ייצוג בתיק העזבון (ת"ע 9197-09-15) </w:t>
      </w:r>
      <w:r>
        <w:rPr>
          <w:rFonts w:ascii="Narkisim" w:hAnsi="Narkisim" w:cs="Narkisim"/>
          <w:sz w:val="28"/>
          <w:szCs w:val="28"/>
          <w:u w:val="single"/>
          <w:rtl/>
        </w:rPr>
        <w:t>ו"כן כל הליך משפטי"</w:t>
      </w:r>
      <w:r>
        <w:rPr>
          <w:rFonts w:ascii="Narkisim" w:hAnsi="Narkisim" w:cs="Narkisim"/>
          <w:sz w:val="28"/>
          <w:szCs w:val="28"/>
          <w:rtl/>
        </w:rPr>
        <w:t xml:space="preserve"> במסגרתו מורשה עו"ד שר אף להגיע להסכמות ופשרות בכלל ההליכים (ראו סע' 6 ליפוי הכוח שצורף בתיק העזבון).  כאמור, עו"ד שר לא זומן לצורך חקירתו על ידי המערער ואף לא צורף על ידו כצד לתיק והדברים משמשים לחובתו של המערער הן בטענותיו לעניין אי נוכחתו בדיון בעת גיבוש הסכם הפשרה והן בטענותיו לעניין היקף הרשאתו של עו"ד שר.  </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 xml:space="preserve">מכלל האמור עולה, כפי שהסיק אף בית משפט קמא, כי המערער לא עמד בנטל הכבד המוטל עליו להראות כי נפל פגם כלשהו בכריתת הסכם הפשרה אשר קיבל תוקף של החלטה שיפוטית. </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Miriam" w:hAnsi="Miriam" w:cs="Miriam"/>
          <w:sz w:val="22"/>
          <w:szCs w:val="22"/>
          <w:rtl/>
        </w:rPr>
      </w:pPr>
      <w:r>
        <w:rPr>
          <w:rFonts w:ascii="Miriam" w:hAnsi="Miriam" w:cs="Miriam"/>
          <w:rtl/>
        </w:rPr>
        <w:t>סוף דבר</w:t>
      </w:r>
    </w:p>
    <w:p w:rsidR="00C57BE6" w:rsidRDefault="00C57BE6" w:rsidP="00C57BE6">
      <w:pPr>
        <w:spacing w:line="405" w:lineRule="atLeast"/>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22.</w:t>
      </w:r>
      <w:r>
        <w:rPr>
          <w:rFonts w:ascii="Narkisim" w:hAnsi="Narkisim" w:cs="Narkisim"/>
          <w:sz w:val="28"/>
          <w:szCs w:val="28"/>
          <w:rtl/>
        </w:rPr>
        <w:tab/>
        <w:t xml:space="preserve">הערעור נדחה על כל סעיפיו. המערער יישא בהוצאות המשיבים בשיעור של 21,000 ₪ (3,000 ₪ לכל אחד מהמשיבים 1-7). </w:t>
      </w: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r>
        <w:rPr>
          <w:rFonts w:ascii="Narkisim" w:hAnsi="Narkisim" w:cs="Narkisim"/>
          <w:sz w:val="28"/>
          <w:szCs w:val="28"/>
          <w:rtl/>
        </w:rPr>
        <w:t>הערובה שהופקדה בתיק תועבר ליד המשיבים באמצעות באי כוחם על חשבון ההוצאות.</w:t>
      </w:r>
    </w:p>
    <w:p w:rsidR="00C57BE6" w:rsidRDefault="00C57BE6" w:rsidP="00C57BE6">
      <w:pPr>
        <w:spacing w:line="360" w:lineRule="auto"/>
        <w:ind w:left="720" w:hanging="720"/>
        <w:jc w:val="both"/>
        <w:rPr>
          <w:rFonts w:ascii="Narkisim" w:hAnsi="Narkisim" w:cs="Narkisim"/>
          <w:sz w:val="28"/>
          <w:szCs w:val="28"/>
        </w:rPr>
      </w:pPr>
    </w:p>
    <w:p w:rsidR="00C57BE6" w:rsidRDefault="00C57BE6" w:rsidP="00C57BE6">
      <w:pPr>
        <w:spacing w:line="360" w:lineRule="auto"/>
        <w:ind w:left="720" w:hanging="720"/>
        <w:jc w:val="both"/>
        <w:rPr>
          <w:rFonts w:ascii="Narkisim" w:hAnsi="Narkisim" w:cs="Narkisim"/>
          <w:sz w:val="28"/>
          <w:szCs w:val="28"/>
          <w:rtl/>
        </w:rPr>
      </w:pPr>
      <w:r>
        <w:rPr>
          <w:rFonts w:ascii="Narkisim" w:hAnsi="Narkisim" w:cs="Narkisim"/>
          <w:sz w:val="28"/>
          <w:szCs w:val="28"/>
          <w:rtl/>
        </w:rPr>
        <w:t xml:space="preserve">ניתן לפרסום ללא פרטי שמות הצדדים.  </w:t>
      </w:r>
    </w:p>
    <w:p w:rsidR="00C57BE6" w:rsidRDefault="00C57BE6" w:rsidP="00C57BE6">
      <w:pPr>
        <w:spacing w:line="360" w:lineRule="auto"/>
        <w:ind w:left="720" w:hanging="720"/>
        <w:jc w:val="both"/>
        <w:rPr>
          <w:rFonts w:ascii="Narkisim" w:hAnsi="Narkisim" w:cs="Narkisim"/>
          <w:sz w:val="28"/>
          <w:szCs w:val="28"/>
          <w:rtl/>
        </w:rPr>
      </w:pPr>
    </w:p>
    <w:p w:rsidR="00C57BE6" w:rsidRDefault="00C57BE6" w:rsidP="00C57BE6">
      <w:pPr>
        <w:spacing w:line="360" w:lineRule="auto"/>
        <w:jc w:val="both"/>
        <w:rPr>
          <w:rFonts w:ascii="Narkisim" w:hAnsi="Narkisim" w:cs="Narkisim"/>
          <w:sz w:val="28"/>
          <w:szCs w:val="28"/>
          <w:rtl/>
        </w:rPr>
      </w:pPr>
    </w:p>
    <w:p w:rsidR="00C57BE6" w:rsidRDefault="00C57BE6" w:rsidP="00C57BE6">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666048407"/>
          <w:text w:multiLine="1"/>
        </w:sdtPr>
        <w:sdtEndPr/>
        <w:sdtContent>
          <w:r>
            <w:rPr>
              <w:rFonts w:ascii="Arial" w:hAnsi="Arial"/>
              <w:noProof w:val="0"/>
              <w:rtl/>
            </w:rPr>
            <w:t>כ"ד תמוז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13 יולי 2023</w:t>
          </w:r>
        </w:sdtContent>
      </w:sdt>
      <w:r>
        <w:rPr>
          <w:rFonts w:ascii="Arial" w:hAnsi="Arial"/>
          <w:noProof w:val="0"/>
          <w:rtl/>
        </w:rPr>
        <w:t>, בהעדר הצדדים.</w:t>
      </w:r>
    </w:p>
    <w:p w:rsidR="00C57BE6" w:rsidRDefault="007177BE" w:rsidP="00C57BE6">
      <w:pPr>
        <w:tabs>
          <w:tab w:val="left" w:pos="2553"/>
        </w:tabs>
        <w:ind w:left="5040"/>
        <w:rPr>
          <w:rtl/>
        </w:rPr>
      </w:pPr>
      <w:sdt>
        <w:sdtPr>
          <w:rPr>
            <w:rtl/>
          </w:rPr>
          <w:alias w:val="2045"/>
          <w:tag w:val="2045"/>
          <w:id w:val="740689340"/>
          <w:placeholder>
            <w:docPart w:val="A9C0F367CB8046AEB608350558B9DC9E"/>
          </w:placeholder>
          <w:showingPlcHdr/>
          <w:text w:multiLine="1"/>
        </w:sdtPr>
        <w:sdtEndPr/>
        <w:sdtContent>
          <w:r w:rsidR="00C57BE6">
            <w:rPr>
              <w:rtl/>
            </w:rPr>
            <w:t xml:space="preserve">     </w:t>
          </w:r>
        </w:sdtContent>
      </w:sdt>
    </w:p>
    <w:tbl>
      <w:tblPr>
        <w:tblStyle w:val="a4"/>
        <w:tblpPr w:leftFromText="180" w:rightFromText="180" w:vertAnchor="text" w:horzAnchor="margin" w:tblpXSpec="center" w:tblpY="35"/>
        <w:bidiVisual/>
        <w:tblW w:w="867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79"/>
        <w:gridCol w:w="2865"/>
        <w:gridCol w:w="2929"/>
      </w:tblGrid>
      <w:tr w:rsidR="00C57BE6" w:rsidTr="00C57BE6">
        <w:tc>
          <w:tcPr>
            <w:tcW w:w="2891" w:type="dxa"/>
            <w:vAlign w:val="center"/>
            <w:hideMark/>
          </w:tcPr>
          <w:sdt>
            <w:sdtPr>
              <w:rPr>
                <w:rFonts w:cs="Times New Roman" w:hint="cs"/>
                <w:rtl/>
              </w:rPr>
              <w:alias w:val="MergeField"/>
              <w:tag w:val="2250"/>
              <w:id w:val="-1427267318"/>
            </w:sdtPr>
            <w:sdtEndPr/>
            <w:sdtContent>
              <w:p w:rsidR="00C57BE6" w:rsidRDefault="00C57BE6">
                <w:pPr>
                  <w:rPr>
                    <w:rFonts w:cs="Times New Roman"/>
                    <w:noProof w:val="0"/>
                    <w:rtl/>
                  </w:rPr>
                </w:pPr>
                <w:r>
                  <w:rPr>
                    <w:rtl/>
                  </w:rPr>
                  <w:drawing>
                    <wp:anchor distT="0" distB="0" distL="114300" distR="114300" simplePos="0" relativeHeight="251657216" behindDoc="0" locked="0" layoutInCell="1" allowOverlap="1">
                      <wp:simplePos x="0" y="0"/>
                      <wp:positionH relativeFrom="column">
                        <wp:posOffset>-1125855</wp:posOffset>
                      </wp:positionH>
                      <wp:positionV relativeFrom="paragraph">
                        <wp:posOffset>30480</wp:posOffset>
                      </wp:positionV>
                      <wp:extent cx="1357630" cy="646430"/>
                      <wp:effectExtent l="0" t="0" r="0" b="1270"/>
                      <wp:wrapSquare wrapText="bothSides"/>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57630" cy="646430"/>
                              </a:xfrm>
                              <a:prstGeom prst="rect">
                                <a:avLst/>
                              </a:prstGeom>
                              <a:noFill/>
                            </pic:spPr>
                          </pic:pic>
                        </a:graphicData>
                      </a:graphic>
                      <wp14:sizeRelH relativeFrom="margin">
                        <wp14:pctWidth>0</wp14:pctWidth>
                      </wp14:sizeRelH>
                      <wp14:sizeRelV relativeFrom="margin">
                        <wp14:pctHeight>0</wp14:pctHeight>
                      </wp14:sizeRelV>
                    </wp:anchor>
                  </w:drawing>
                </w:r>
              </w:p>
            </w:sdtContent>
          </w:sdt>
        </w:tc>
        <w:tc>
          <w:tcPr>
            <w:tcW w:w="2891" w:type="dxa"/>
            <w:vAlign w:val="center"/>
            <w:hideMark/>
          </w:tcPr>
          <w:sdt>
            <w:sdtPr>
              <w:rPr>
                <w:rFonts w:cs="Times New Roman" w:hint="cs"/>
                <w:rtl/>
              </w:rPr>
              <w:alias w:val="MergeField"/>
              <w:tag w:val="2251"/>
              <w:id w:val="1262425692"/>
            </w:sdtPr>
            <w:sdtEndPr/>
            <w:sdtContent>
              <w:p w:rsidR="00C57BE6" w:rsidRDefault="00C57BE6">
                <w:r>
                  <w:drawing>
                    <wp:inline distT="0" distB="0" distL="0" distR="0">
                      <wp:extent cx="955040" cy="100965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5040" cy="1009650"/>
                              </a:xfrm>
                              <a:prstGeom prst="rect">
                                <a:avLst/>
                              </a:prstGeom>
                              <a:noFill/>
                              <a:ln>
                                <a:noFill/>
                              </a:ln>
                            </pic:spPr>
                          </pic:pic>
                        </a:graphicData>
                      </a:graphic>
                    </wp:inline>
                  </w:drawing>
                </w:r>
              </w:p>
            </w:sdtContent>
          </w:sdt>
        </w:tc>
        <w:tc>
          <w:tcPr>
            <w:tcW w:w="2891" w:type="dxa"/>
            <w:vAlign w:val="center"/>
            <w:hideMark/>
          </w:tcPr>
          <w:sdt>
            <w:sdtPr>
              <w:rPr>
                <w:rFonts w:cs="Times New Roman" w:hint="cs"/>
                <w:rtl/>
              </w:rPr>
              <w:alias w:val="MergeField"/>
              <w:tag w:val="2252"/>
              <w:id w:val="395328172"/>
            </w:sdtPr>
            <w:sdtEndPr/>
            <w:sdtContent>
              <w:p w:rsidR="00C57BE6" w:rsidRDefault="00C57BE6">
                <w:r>
                  <w:drawing>
                    <wp:anchor distT="0" distB="0" distL="114300" distR="114300" simplePos="0" relativeHeight="251658240" behindDoc="0" locked="0" layoutInCell="1" allowOverlap="1">
                      <wp:simplePos x="0" y="0"/>
                      <wp:positionH relativeFrom="column">
                        <wp:posOffset>18415</wp:posOffset>
                      </wp:positionH>
                      <wp:positionV relativeFrom="paragraph">
                        <wp:posOffset>203835</wp:posOffset>
                      </wp:positionV>
                      <wp:extent cx="1722755" cy="416560"/>
                      <wp:effectExtent l="0" t="0" r="0" b="2540"/>
                      <wp:wrapSquare wrapText="bothSides"/>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22755" cy="416560"/>
                              </a:xfrm>
                              <a:prstGeom prst="rect">
                                <a:avLst/>
                              </a:prstGeom>
                              <a:noFill/>
                            </pic:spPr>
                          </pic:pic>
                        </a:graphicData>
                      </a:graphic>
                      <wp14:sizeRelH relativeFrom="margin">
                        <wp14:pctWidth>0</wp14:pctWidth>
                      </wp14:sizeRelH>
                      <wp14:sizeRelV relativeFrom="margin">
                        <wp14:pctHeight>0</wp14:pctHeight>
                      </wp14:sizeRelV>
                    </wp:anchor>
                  </w:drawing>
                </w:r>
              </w:p>
            </w:sdtContent>
          </w:sdt>
        </w:tc>
      </w:tr>
      <w:tr w:rsidR="00C57BE6" w:rsidTr="00C57BE6">
        <w:tc>
          <w:tcPr>
            <w:tcW w:w="2891" w:type="dxa"/>
            <w:vAlign w:val="center"/>
            <w:hideMark/>
          </w:tcPr>
          <w:p w:rsidR="00C57BE6" w:rsidRDefault="007177BE">
            <w:pPr>
              <w:spacing w:line="360" w:lineRule="auto"/>
              <w:jc w:val="center"/>
              <w:rPr>
                <w:rFonts w:ascii="David" w:hAnsi="David"/>
              </w:rPr>
            </w:pPr>
            <w:sdt>
              <w:sdtPr>
                <w:rPr>
                  <w:rtl/>
                </w:rPr>
                <w:alias w:val="2235"/>
                <w:tag w:val="2235"/>
                <w:id w:val="1100069598"/>
              </w:sdtPr>
              <w:sdtEndPr/>
              <w:sdtContent>
                <w:r w:rsidR="00C57BE6">
                  <w:rPr>
                    <w:rFonts w:ascii="David" w:hAnsi="David"/>
                    <w:rtl/>
                  </w:rPr>
                  <w:t>צבי</w:t>
                </w:r>
              </w:sdtContent>
            </w:sdt>
            <w:r w:rsidR="00C57BE6">
              <w:rPr>
                <w:rtl/>
              </w:rPr>
              <w:t xml:space="preserve">  </w:t>
            </w:r>
            <w:sdt>
              <w:sdtPr>
                <w:rPr>
                  <w:rFonts w:cs="Times New Roman" w:hint="cs"/>
                  <w:rtl/>
                </w:rPr>
                <w:alias w:val="2240"/>
                <w:tag w:val="2240"/>
                <w:id w:val="825638415"/>
              </w:sdtPr>
              <w:sdtEndPr/>
              <w:sdtContent>
                <w:r w:rsidR="00C57BE6">
                  <w:rPr>
                    <w:rtl/>
                  </w:rPr>
                  <w:t>ויצמן</w:t>
                </w:r>
              </w:sdtContent>
            </w:sdt>
            <w:r w:rsidR="00C57BE6">
              <w:rPr>
                <w:rtl/>
              </w:rPr>
              <w:t xml:space="preserve">, </w:t>
            </w:r>
            <w:sdt>
              <w:sdtPr>
                <w:rPr>
                  <w:rFonts w:cs="Times New Roman" w:hint="cs"/>
                  <w:rtl/>
                </w:rPr>
                <w:alias w:val="2245"/>
                <w:tag w:val="2245"/>
                <w:id w:val="533847746"/>
              </w:sdtPr>
              <w:sdtEndPr/>
              <w:sdtContent>
                <w:r w:rsidR="00C57BE6">
                  <w:rPr>
                    <w:rtl/>
                  </w:rPr>
                  <w:t>שופט</w:t>
                </w:r>
              </w:sdtContent>
            </w:sdt>
          </w:p>
        </w:tc>
        <w:tc>
          <w:tcPr>
            <w:tcW w:w="2891" w:type="dxa"/>
            <w:vAlign w:val="center"/>
            <w:hideMark/>
          </w:tcPr>
          <w:p w:rsidR="00C57BE6" w:rsidRDefault="007177BE">
            <w:pPr>
              <w:spacing w:line="360" w:lineRule="auto"/>
              <w:jc w:val="center"/>
              <w:rPr>
                <w:rFonts w:ascii="David" w:hAnsi="David"/>
              </w:rPr>
            </w:pPr>
            <w:sdt>
              <w:sdtPr>
                <w:rPr>
                  <w:rtl/>
                </w:rPr>
                <w:alias w:val="2236"/>
                <w:tag w:val="2236"/>
                <w:id w:val="639300144"/>
              </w:sdtPr>
              <w:sdtEndPr/>
              <w:sdtContent>
                <w:r w:rsidR="00C57BE6">
                  <w:rPr>
                    <w:rFonts w:ascii="David" w:hAnsi="David"/>
                    <w:rtl/>
                  </w:rPr>
                  <w:t>יעל</w:t>
                </w:r>
              </w:sdtContent>
            </w:sdt>
            <w:r w:rsidR="00C57BE6">
              <w:rPr>
                <w:rtl/>
              </w:rPr>
              <w:t xml:space="preserve"> </w:t>
            </w:r>
            <w:sdt>
              <w:sdtPr>
                <w:rPr>
                  <w:rFonts w:cs="Times New Roman" w:hint="cs"/>
                  <w:rtl/>
                </w:rPr>
                <w:alias w:val="2241"/>
                <w:tag w:val="2241"/>
                <w:id w:val="-2097088705"/>
              </w:sdtPr>
              <w:sdtEndPr/>
              <w:sdtContent>
                <w:r w:rsidR="00C57BE6">
                  <w:rPr>
                    <w:rtl/>
                  </w:rPr>
                  <w:t>מושקוביץ</w:t>
                </w:r>
              </w:sdtContent>
            </w:sdt>
            <w:r w:rsidR="00C57BE6">
              <w:rPr>
                <w:rtl/>
              </w:rPr>
              <w:t xml:space="preserve">, </w:t>
            </w:r>
            <w:sdt>
              <w:sdtPr>
                <w:rPr>
                  <w:rFonts w:cs="Times New Roman" w:hint="cs"/>
                  <w:rtl/>
                </w:rPr>
                <w:alias w:val="2246"/>
                <w:tag w:val="2246"/>
                <w:id w:val="-1989393221"/>
              </w:sdtPr>
              <w:sdtEndPr/>
              <w:sdtContent>
                <w:r w:rsidR="00C57BE6">
                  <w:rPr>
                    <w:rtl/>
                  </w:rPr>
                  <w:t>שופטת</w:t>
                </w:r>
              </w:sdtContent>
            </w:sdt>
          </w:p>
        </w:tc>
        <w:tc>
          <w:tcPr>
            <w:tcW w:w="2891" w:type="dxa"/>
            <w:vAlign w:val="center"/>
            <w:hideMark/>
          </w:tcPr>
          <w:p w:rsidR="00C57BE6" w:rsidRDefault="007177BE">
            <w:pPr>
              <w:spacing w:line="360" w:lineRule="auto"/>
              <w:jc w:val="center"/>
              <w:rPr>
                <w:rFonts w:ascii="David" w:hAnsi="David"/>
                <w:rtl/>
              </w:rPr>
            </w:pPr>
            <w:sdt>
              <w:sdtPr>
                <w:rPr>
                  <w:rtl/>
                </w:rPr>
                <w:alias w:val="2237"/>
                <w:tag w:val="2237"/>
                <w:id w:val="-31890643"/>
              </w:sdtPr>
              <w:sdtEndPr/>
              <w:sdtContent>
                <w:r w:rsidR="00C57BE6">
                  <w:rPr>
                    <w:rFonts w:ascii="David" w:hAnsi="David"/>
                    <w:rtl/>
                  </w:rPr>
                  <w:t>צבייה</w:t>
                </w:r>
              </w:sdtContent>
            </w:sdt>
            <w:r w:rsidR="00C57BE6">
              <w:rPr>
                <w:rtl/>
              </w:rPr>
              <w:t xml:space="preserve"> </w:t>
            </w:r>
            <w:sdt>
              <w:sdtPr>
                <w:rPr>
                  <w:rFonts w:cs="Times New Roman" w:hint="cs"/>
                  <w:rtl/>
                </w:rPr>
                <w:alias w:val="2242"/>
                <w:tag w:val="2242"/>
                <w:id w:val="358854881"/>
              </w:sdtPr>
              <w:sdtEndPr/>
              <w:sdtContent>
                <w:r w:rsidR="00C57BE6">
                  <w:rPr>
                    <w:rtl/>
                  </w:rPr>
                  <w:t>גרדשטיין פפקין</w:t>
                </w:r>
              </w:sdtContent>
            </w:sdt>
            <w:r w:rsidR="00C57BE6">
              <w:rPr>
                <w:rtl/>
              </w:rPr>
              <w:t xml:space="preserve">, </w:t>
            </w:r>
            <w:sdt>
              <w:sdtPr>
                <w:rPr>
                  <w:rFonts w:cs="Times New Roman" w:hint="cs"/>
                  <w:rtl/>
                </w:rPr>
                <w:alias w:val="2247"/>
                <w:tag w:val="2247"/>
                <w:id w:val="243227774"/>
              </w:sdtPr>
              <w:sdtEndPr/>
              <w:sdtContent>
                <w:r w:rsidR="00C57BE6">
                  <w:rPr>
                    <w:rtl/>
                  </w:rPr>
                  <w:t>שופטת</w:t>
                </w:r>
              </w:sdtContent>
            </w:sdt>
          </w:p>
        </w:tc>
      </w:tr>
    </w:tbl>
    <w:p w:rsidR="00C57BE6" w:rsidRDefault="00C57BE6" w:rsidP="00C57BE6">
      <w:pPr>
        <w:tabs>
          <w:tab w:val="left" w:pos="2553"/>
        </w:tabs>
        <w:rPr>
          <w:rFonts w:ascii="Arial" w:hAnsi="Arial"/>
          <w:noProof w:val="0"/>
          <w:rtl/>
        </w:rPr>
      </w:pPr>
    </w:p>
    <w:p w:rsidR="00D92BB7" w:rsidRDefault="00D92BB7"/>
    <w:sectPr w:rsidR="00D92BB7" w:rsidSect="00394AB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77BE" w:rsidRDefault="007177BE" w:rsidP="00C57BE6">
      <w:r>
        <w:separator/>
      </w:r>
    </w:p>
  </w:endnote>
  <w:endnote w:type="continuationSeparator" w:id="0">
    <w:p w:rsidR="007177BE" w:rsidRDefault="007177BE" w:rsidP="00C57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BE6" w:rsidRDefault="00C57BE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BE6" w:rsidRDefault="00C57BE6">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BE6" w:rsidRDefault="00C57BE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77BE" w:rsidRDefault="007177BE" w:rsidP="00C57BE6">
      <w:r>
        <w:separator/>
      </w:r>
    </w:p>
  </w:footnote>
  <w:footnote w:type="continuationSeparator" w:id="0">
    <w:p w:rsidR="007177BE" w:rsidRDefault="007177BE" w:rsidP="00C57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BE6" w:rsidRDefault="00C57BE6">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BE6" w:rsidRDefault="00C57BE6" w:rsidP="00C57BE6">
    <w:pPr>
      <w:pStyle w:val="a5"/>
      <w:jc w:val="center"/>
      <w:rPr>
        <w:rFonts w:cs="FrankRuehl"/>
        <w:noProof w:val="0"/>
        <w:sz w:val="28"/>
        <w:szCs w:val="28"/>
      </w:rPr>
    </w:pPr>
    <w:r>
      <w:rPr>
        <w:rFonts w:cs="FrankRuehl"/>
        <w:sz w:val="28"/>
        <w:szCs w:val="28"/>
      </w:rPr>
      <w:drawing>
        <wp:inline distT="0" distB="0" distL="0" distR="0">
          <wp:extent cx="368300" cy="464185"/>
          <wp:effectExtent l="0" t="0" r="0" b="0"/>
          <wp:docPr id="4" name="תמונה 4"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46418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C57BE6" w:rsidTr="00C57BE6">
      <w:trPr>
        <w:trHeight w:val="704"/>
        <w:jc w:val="center"/>
      </w:trPr>
      <w:sdt>
        <w:sdtPr>
          <w:rPr>
            <w:rFonts w:ascii="Tahoma" w:hAnsi="Tahoma"/>
            <w:color w:val="000080"/>
            <w:sz w:val="32"/>
            <w:szCs w:val="32"/>
            <w:rtl/>
          </w:rPr>
          <w:alias w:val="1174"/>
          <w:tag w:val="1174"/>
          <w:id w:val="-1585920285"/>
          <w:text w:multiLine="1"/>
        </w:sdtPr>
        <w:sdtEndPr/>
        <w:sdtContent>
          <w:tc>
            <w:tcPr>
              <w:tcW w:w="8307" w:type="dxa"/>
              <w:hideMark/>
            </w:tcPr>
            <w:p w:rsidR="00C57BE6" w:rsidRDefault="00C57BE6" w:rsidP="00C57BE6">
              <w:pPr>
                <w:pStyle w:val="a5"/>
                <w:jc w:val="center"/>
                <w:rPr>
                  <w:rFonts w:ascii="Tahoma" w:hAnsi="Tahoma"/>
                  <w:color w:val="000080"/>
                  <w:sz w:val="32"/>
                  <w:szCs w:val="32"/>
                  <w:rtl/>
                </w:rPr>
              </w:pPr>
              <w:r>
                <w:rPr>
                  <w:rFonts w:ascii="Tahoma" w:hAnsi="Tahoma"/>
                  <w:color w:val="000080"/>
                  <w:sz w:val="32"/>
                  <w:szCs w:val="32"/>
                  <w:rtl/>
                </w:rPr>
                <w:t>בית המשפט המחוזי מרכז-לוד</w:t>
              </w:r>
            </w:p>
          </w:tc>
        </w:sdtContent>
      </w:sdt>
    </w:tr>
    <w:tr w:rsidR="00C57BE6" w:rsidTr="00C57BE6">
      <w:trPr>
        <w:trHeight w:val="337"/>
        <w:jc w:val="center"/>
      </w:trPr>
      <w:tc>
        <w:tcPr>
          <w:tcW w:w="8307" w:type="dxa"/>
          <w:hideMark/>
        </w:tcPr>
        <w:p w:rsidR="00C57BE6" w:rsidRDefault="007177BE" w:rsidP="00C57BE6">
          <w:pPr>
            <w:rPr>
              <w:b/>
              <w:bCs/>
              <w:noProof w:val="0"/>
              <w:sz w:val="26"/>
              <w:szCs w:val="26"/>
              <w:rtl/>
            </w:rPr>
          </w:pPr>
          <w:sdt>
            <w:sdtPr>
              <w:rPr>
                <w:rtl/>
              </w:rPr>
              <w:alias w:val="1170"/>
              <w:tag w:val="1170"/>
              <w:id w:val="1066377040"/>
              <w:text w:multiLine="1"/>
            </w:sdtPr>
            <w:sdtEndPr/>
            <w:sdtContent>
              <w:proofErr w:type="spellStart"/>
              <w:r w:rsidR="00C57BE6">
                <w:rPr>
                  <w:b/>
                  <w:bCs/>
                  <w:noProof w:val="0"/>
                  <w:sz w:val="26"/>
                  <w:szCs w:val="26"/>
                  <w:rtl/>
                </w:rPr>
                <w:t>עמ"ש</w:t>
              </w:r>
              <w:proofErr w:type="spellEnd"/>
            </w:sdtContent>
          </w:sdt>
          <w:r w:rsidR="00C57BE6">
            <w:rPr>
              <w:b/>
              <w:bCs/>
              <w:noProof w:val="0"/>
              <w:sz w:val="26"/>
              <w:szCs w:val="26"/>
              <w:rtl/>
            </w:rPr>
            <w:t xml:space="preserve"> </w:t>
          </w:r>
          <w:bookmarkStart w:id="1" w:name="_GoBack"/>
          <w:sdt>
            <w:sdtPr>
              <w:rPr>
                <w:rtl/>
              </w:rPr>
              <w:alias w:val="1171"/>
              <w:tag w:val="1171"/>
              <w:id w:val="257034231"/>
              <w:text w:multiLine="1"/>
            </w:sdtPr>
            <w:sdtEndPr/>
            <w:sdtContent>
              <w:r w:rsidR="00C57BE6">
                <w:rPr>
                  <w:b/>
                  <w:bCs/>
                  <w:noProof w:val="0"/>
                  <w:sz w:val="26"/>
                  <w:szCs w:val="26"/>
                  <w:rtl/>
                </w:rPr>
                <w:t>12836-11-22</w:t>
              </w:r>
            </w:sdtContent>
          </w:sdt>
          <w:bookmarkEnd w:id="1"/>
          <w:r w:rsidR="00C57BE6">
            <w:rPr>
              <w:b/>
              <w:bCs/>
              <w:noProof w:val="0"/>
              <w:sz w:val="26"/>
              <w:szCs w:val="26"/>
              <w:rtl/>
            </w:rPr>
            <w:t xml:space="preserve"> </w:t>
          </w:r>
          <w:sdt>
            <w:sdtPr>
              <w:rPr>
                <w:b/>
                <w:bCs/>
                <w:noProof w:val="0"/>
                <w:sz w:val="26"/>
                <w:szCs w:val="26"/>
                <w:rtl/>
              </w:rPr>
              <w:alias w:val="3154"/>
              <w:tag w:val="3154"/>
              <w:id w:val="-1285889662"/>
              <w:placeholder>
                <w:docPart w:val="902C5D6C1FBB499E986DD002865AA1A8"/>
              </w:placeholder>
              <w:text w:multiLine="1"/>
            </w:sdtPr>
            <w:sdtEndPr/>
            <w:sdtContent>
              <w:r w:rsidR="00C57BE6">
                <w:rPr>
                  <w:b/>
                  <w:bCs/>
                  <w:noProof w:val="0"/>
                  <w:sz w:val="26"/>
                  <w:szCs w:val="26"/>
                  <w:rtl/>
                </w:rPr>
                <w:t>ט. נ' ע.  ואח'</w:t>
              </w:r>
            </w:sdtContent>
          </w:sdt>
          <w:r w:rsidR="00C57BE6">
            <w:rPr>
              <w:b/>
              <w:bCs/>
              <w:noProof w:val="0"/>
              <w:sz w:val="26"/>
              <w:szCs w:val="26"/>
              <w:rtl/>
            </w:rPr>
            <w:t xml:space="preserve"> </w:t>
          </w:r>
          <w:r w:rsidR="00C57BE6">
            <w:rPr>
              <w:sz w:val="20"/>
              <w:szCs w:val="20"/>
              <w:rtl/>
            </w:rPr>
            <w:t xml:space="preserve"> </w:t>
          </w:r>
        </w:p>
      </w:tc>
    </w:tr>
  </w:tbl>
  <w:p w:rsidR="00C57BE6" w:rsidRPr="00C57BE6" w:rsidRDefault="00C57BE6">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BE6" w:rsidRDefault="00C57BE6">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BE6"/>
    <w:rsid w:val="00394AB7"/>
    <w:rsid w:val="006E1406"/>
    <w:rsid w:val="007177BE"/>
    <w:rsid w:val="00A42422"/>
    <w:rsid w:val="00C57BE6"/>
    <w:rsid w:val="00D92BB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FC6F66-C338-4B75-81F0-7A628BC50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BE6"/>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57BE6"/>
    <w:pPr>
      <w:spacing w:after="160" w:line="254" w:lineRule="auto"/>
      <w:ind w:left="720"/>
      <w:contextualSpacing/>
    </w:pPr>
    <w:rPr>
      <w:rFonts w:asciiTheme="minorHAnsi" w:eastAsiaTheme="minorHAnsi" w:hAnsiTheme="minorHAnsi" w:cstheme="minorBidi"/>
      <w:noProof w:val="0"/>
      <w:sz w:val="22"/>
      <w:szCs w:val="22"/>
    </w:rPr>
  </w:style>
  <w:style w:type="table" w:styleId="a4">
    <w:name w:val="Table Grid"/>
    <w:basedOn w:val="a1"/>
    <w:rsid w:val="00C57BE6"/>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C57BE6"/>
    <w:pPr>
      <w:tabs>
        <w:tab w:val="center" w:pos="4153"/>
        <w:tab w:val="right" w:pos="8306"/>
      </w:tabs>
    </w:pPr>
  </w:style>
  <w:style w:type="character" w:customStyle="1" w:styleId="a6">
    <w:name w:val="כותרת עליונה תו"/>
    <w:basedOn w:val="a0"/>
    <w:link w:val="a5"/>
    <w:rsid w:val="00C57BE6"/>
    <w:rPr>
      <w:rFonts w:ascii="Times New Roman" w:eastAsia="Times New Roman" w:hAnsi="Times New Roman" w:cs="David"/>
      <w:noProof/>
      <w:sz w:val="24"/>
      <w:szCs w:val="24"/>
    </w:rPr>
  </w:style>
  <w:style w:type="paragraph" w:styleId="a7">
    <w:name w:val="footer"/>
    <w:basedOn w:val="a"/>
    <w:link w:val="a8"/>
    <w:uiPriority w:val="99"/>
    <w:unhideWhenUsed/>
    <w:rsid w:val="00C57BE6"/>
    <w:pPr>
      <w:tabs>
        <w:tab w:val="center" w:pos="4153"/>
        <w:tab w:val="right" w:pos="8306"/>
      </w:tabs>
    </w:pPr>
  </w:style>
  <w:style w:type="character" w:customStyle="1" w:styleId="a8">
    <w:name w:val="כותרת תחתונה תו"/>
    <w:basedOn w:val="a0"/>
    <w:link w:val="a7"/>
    <w:uiPriority w:val="99"/>
    <w:rsid w:val="00C57BE6"/>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247163">
      <w:bodyDiv w:val="1"/>
      <w:marLeft w:val="0"/>
      <w:marRight w:val="0"/>
      <w:marTop w:val="0"/>
      <w:marBottom w:val="0"/>
      <w:divBdr>
        <w:top w:val="none" w:sz="0" w:space="0" w:color="auto"/>
        <w:left w:val="none" w:sz="0" w:space="0" w:color="auto"/>
        <w:bottom w:val="none" w:sz="0" w:space="0" w:color="auto"/>
        <w:right w:val="none" w:sz="0" w:space="0" w:color="auto"/>
      </w:divBdr>
    </w:div>
    <w:div w:id="1808547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glossaryDocument" Target="glossary/document.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FA77F3C5E6D4D378138542277E28321"/>
        <w:category>
          <w:name w:val="כללי"/>
          <w:gallery w:val="placeholder"/>
        </w:category>
        <w:types>
          <w:type w:val="bbPlcHdr"/>
        </w:types>
        <w:behaviors>
          <w:behavior w:val="content"/>
        </w:behaviors>
        <w:guid w:val="{B2B1751E-209E-4C85-9E04-E7DF2BFA546A}"/>
      </w:docPartPr>
      <w:docPartBody>
        <w:p w:rsidR="00972B33" w:rsidRDefault="0057108C" w:rsidP="0057108C">
          <w:pPr>
            <w:pStyle w:val="5FA77F3C5E6D4D378138542277E28321"/>
          </w:pPr>
          <w:r>
            <w:rPr>
              <w:rFonts w:ascii="Arial" w:hAnsi="Arial"/>
              <w:b/>
              <w:bCs/>
              <w:sz w:val="26"/>
              <w:szCs w:val="26"/>
              <w:rtl/>
            </w:rPr>
            <w:t>שם צד א' ללא שם של חסוי</w:t>
          </w:r>
        </w:p>
      </w:docPartBody>
    </w:docPart>
    <w:docPart>
      <w:docPartPr>
        <w:name w:val="4DDBC9D94956457B8684FFB328B406FF"/>
        <w:category>
          <w:name w:val="כללי"/>
          <w:gallery w:val="placeholder"/>
        </w:category>
        <w:types>
          <w:type w:val="bbPlcHdr"/>
        </w:types>
        <w:behaviors>
          <w:behavior w:val="content"/>
        </w:behaviors>
        <w:guid w:val="{FE9D3911-FFEB-4C31-AB37-ABF192A76A6E}"/>
      </w:docPartPr>
      <w:docPartBody>
        <w:p w:rsidR="00972B33" w:rsidRDefault="0057108C" w:rsidP="0057108C">
          <w:pPr>
            <w:pStyle w:val="4DDBC9D94956457B8684FFB328B406FF"/>
          </w:pPr>
          <w:r>
            <w:rPr>
              <w:rFonts w:ascii="Arial" w:hAnsi="Arial"/>
              <w:b/>
              <w:bCs/>
              <w:sz w:val="26"/>
              <w:szCs w:val="26"/>
              <w:rtl/>
            </w:rPr>
            <w:t>שם צד ב' ללא שם של חסוי</w:t>
          </w:r>
        </w:p>
      </w:docPartBody>
    </w:docPart>
    <w:docPart>
      <w:docPartPr>
        <w:name w:val="A9C0F367CB8046AEB608350558B9DC9E"/>
        <w:category>
          <w:name w:val="כללי"/>
          <w:gallery w:val="placeholder"/>
        </w:category>
        <w:types>
          <w:type w:val="bbPlcHdr"/>
        </w:types>
        <w:behaviors>
          <w:behavior w:val="content"/>
        </w:behaviors>
        <w:guid w:val="{917DD746-A733-41AC-B415-3DD1E613160D}"/>
      </w:docPartPr>
      <w:docPartBody>
        <w:p w:rsidR="00972B33" w:rsidRDefault="0057108C" w:rsidP="0057108C">
          <w:pPr>
            <w:pStyle w:val="A9C0F367CB8046AEB608350558B9DC9E"/>
          </w:pPr>
          <w:r>
            <w:rPr>
              <w:rtl/>
            </w:rPr>
            <w:t xml:space="preserve">     </w:t>
          </w:r>
        </w:p>
      </w:docPartBody>
    </w:docPart>
    <w:docPart>
      <w:docPartPr>
        <w:name w:val="902C5D6C1FBB499E986DD002865AA1A8"/>
        <w:category>
          <w:name w:val="כללי"/>
          <w:gallery w:val="placeholder"/>
        </w:category>
        <w:types>
          <w:type w:val="bbPlcHdr"/>
        </w:types>
        <w:behaviors>
          <w:behavior w:val="content"/>
        </w:behaviors>
        <w:guid w:val="{6606BDA7-D9F3-4E11-986F-88792E796167}"/>
      </w:docPartPr>
      <w:docPartBody>
        <w:p w:rsidR="00972B33" w:rsidRDefault="0057108C" w:rsidP="0057108C">
          <w:pPr>
            <w:pStyle w:val="902C5D6C1FBB499E986DD002865AA1A8"/>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08C"/>
    <w:rsid w:val="0057108C"/>
    <w:rsid w:val="00972B33"/>
    <w:rsid w:val="00D257D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FA77F3C5E6D4D378138542277E28321">
    <w:name w:val="5FA77F3C5E6D4D378138542277E28321"/>
    <w:rsid w:val="0057108C"/>
    <w:pPr>
      <w:bidi/>
    </w:pPr>
  </w:style>
  <w:style w:type="paragraph" w:customStyle="1" w:styleId="4DDBC9D94956457B8684FFB328B406FF">
    <w:name w:val="4DDBC9D94956457B8684FFB328B406FF"/>
    <w:rsid w:val="0057108C"/>
    <w:pPr>
      <w:bidi/>
    </w:pPr>
  </w:style>
  <w:style w:type="paragraph" w:customStyle="1" w:styleId="A9C0F367CB8046AEB608350558B9DC9E">
    <w:name w:val="A9C0F367CB8046AEB608350558B9DC9E"/>
    <w:rsid w:val="0057108C"/>
    <w:pPr>
      <w:bidi/>
    </w:pPr>
  </w:style>
  <w:style w:type="paragraph" w:customStyle="1" w:styleId="902C5D6C1FBB499E986DD002865AA1A8">
    <w:name w:val="902C5D6C1FBB499E986DD002865AA1A8"/>
    <w:rsid w:val="0057108C"/>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2146</Words>
  <Characters>10735</Characters>
  <Application>Microsoft Office Word</Application>
  <DocSecurity>0</DocSecurity>
  <Lines>89</Lines>
  <Paragraphs>25</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רותם כהן</cp:lastModifiedBy>
  <cp:revision>2</cp:revision>
  <dcterms:created xsi:type="dcterms:W3CDTF">2023-08-08T11:58:00Z</dcterms:created>
  <dcterms:modified xsi:type="dcterms:W3CDTF">2023-08-08T11:58:00Z</dcterms:modified>
</cp:coreProperties>
</file>